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B4A" w:rsidRDefault="00B70B4A" w:rsidP="00B70B4A">
      <w:pPr>
        <w:ind w:firstLine="0"/>
      </w:pPr>
    </w:p>
    <w:p w:rsidR="00B70B4A" w:rsidRDefault="00B70B4A"/>
    <w:p w:rsidR="00B70B4A" w:rsidRDefault="00B70B4A"/>
    <w:p w:rsidR="00B70B4A" w:rsidRDefault="00B70B4A"/>
    <w:p w:rsidR="00B70B4A" w:rsidRDefault="00B70B4A"/>
    <w:p w:rsidR="00B70B4A" w:rsidRDefault="00B70B4A"/>
    <w:p w:rsidR="00B70B4A" w:rsidRDefault="00B70B4A" w:rsidP="00B70B4A">
      <w:pPr>
        <w:ind w:firstLine="0"/>
        <w:jc w:val="center"/>
      </w:pPr>
      <w:r>
        <w:t>International Expansion</w:t>
      </w:r>
    </w:p>
    <w:p w:rsidR="00B70B4A" w:rsidRDefault="00B70B4A" w:rsidP="00B70B4A">
      <w:pPr>
        <w:ind w:firstLine="0"/>
        <w:jc w:val="center"/>
      </w:pPr>
      <w:r>
        <w:t>Student’s Name</w:t>
      </w:r>
    </w:p>
    <w:p w:rsidR="00B70B4A" w:rsidRDefault="00B70B4A" w:rsidP="00B70B4A">
      <w:pPr>
        <w:ind w:firstLine="0"/>
        <w:jc w:val="center"/>
      </w:pPr>
      <w:r>
        <w:t>Institutional Affiliation</w:t>
      </w:r>
      <w:r>
        <w:br w:type="page"/>
      </w:r>
    </w:p>
    <w:p w:rsidR="00471AD0" w:rsidRPr="00471AD0" w:rsidRDefault="00471AD0" w:rsidP="00471AD0">
      <w:pPr>
        <w:ind w:firstLine="0"/>
        <w:rPr>
          <w:b/>
        </w:rPr>
      </w:pPr>
      <w:r w:rsidRPr="00471AD0">
        <w:rPr>
          <w:b/>
        </w:rPr>
        <w:lastRenderedPageBreak/>
        <w:t>Part 1</w:t>
      </w:r>
    </w:p>
    <w:p w:rsidR="00B70B4A" w:rsidRDefault="00B70B4A" w:rsidP="00B70B4A">
      <w:pPr>
        <w:ind w:firstLine="0"/>
        <w:jc w:val="center"/>
      </w:pPr>
      <w:r>
        <w:t>International Expansion</w:t>
      </w:r>
    </w:p>
    <w:p w:rsidR="00125278" w:rsidRDefault="00B505DE">
      <w:r>
        <w:t xml:space="preserve">The globalization of the world has made it possible for business to operate in any part of the world. However, it not an easy task to launch a product a new country and it thrives. One needs to conduct an in depth study and analyze the environment, culture the economy, and the political factors that determines the success of any given business. With a good study and the right strategy, going international reaps handsome revenue for businesses and companies that are willing to undertake the risk. This paper will discuss the strategic moves that propelled Netflix’s successful international expansion. It will also highlight some of the causes of failure for some companies that have tried to go international. </w:t>
      </w:r>
    </w:p>
    <w:p w:rsidR="00D236EE" w:rsidRDefault="00B505DE">
      <w:r>
        <w:t xml:space="preserve">Netflix </w:t>
      </w:r>
      <w:r w:rsidR="004B691D">
        <w:t>growth across the globe is a major stride in the success of the company. The company is now operating in more than 190 countries with over 130 million subscribers. Of the total number of subscribers more than half are outside the United States which the country where the company was established. Its globalization strategy was faced by unique challenges but it managed to overcome them</w:t>
      </w:r>
      <w:r w:rsidR="00B70B4A">
        <w:t xml:space="preserve"> (</w:t>
      </w:r>
      <w:proofErr w:type="spellStart"/>
      <w:r w:rsidR="00B70B4A" w:rsidRPr="00B70B4A">
        <w:rPr>
          <w:rFonts w:cs="Arial"/>
          <w:szCs w:val="20"/>
          <w:shd w:val="clear" w:color="auto" w:fill="FFFFFF"/>
        </w:rPr>
        <w:t>Lobato</w:t>
      </w:r>
      <w:proofErr w:type="spellEnd"/>
      <w:r w:rsidR="00B70B4A">
        <w:rPr>
          <w:rFonts w:cs="Arial"/>
          <w:szCs w:val="20"/>
          <w:shd w:val="clear" w:color="auto" w:fill="FFFFFF"/>
        </w:rPr>
        <w:t>, 2019)</w:t>
      </w:r>
      <w:r w:rsidR="004B691D">
        <w:t xml:space="preserve">. </w:t>
      </w:r>
      <w:r w:rsidR="00911014">
        <w:t xml:space="preserve">The expansion of Netflix </w:t>
      </w:r>
      <w:r w:rsidR="00D236EE">
        <w:t xml:space="preserve">has an element of what can be termed as exponential globalization strategy. This refers to the carefully coordinated and well planned cycle of expansion that was executed rapidly to many countries and subscribers. This approach has enabled the company to expand at a greater rate than all its competitors. </w:t>
      </w:r>
    </w:p>
    <w:p w:rsidR="00B505DE" w:rsidRDefault="00D236EE">
      <w:r>
        <w:t>Another key strategy</w:t>
      </w:r>
      <w:r w:rsidR="004B691D">
        <w:t xml:space="preserve"> that helped the company establish itself in other countries is that it did not enter all the market at once. The first market were selected carefully with geographical and psychic distance being highly considered. For instance, choosing Canada as one of the initial international expansion saw the company sail at ease since Canada shares many similarities with </w:t>
      </w:r>
      <w:r w:rsidR="004B691D">
        <w:lastRenderedPageBreak/>
        <w:t xml:space="preserve">USA. Netflix therefore faced close to zero challenges in Canada while the management continued to learn the trick to venture </w:t>
      </w:r>
      <w:r w:rsidR="00277EF0">
        <w:t xml:space="preserve">into foreign markets. </w:t>
      </w:r>
    </w:p>
    <w:p w:rsidR="00277EF0" w:rsidRDefault="00277EF0">
      <w:r>
        <w:t>The second phase of expansion was rolled out in close to 50 countries basing its entrance on the lessons learned during phase one. The markets were selected on the basis of their degree of attractiveness, for instance the presence of many consumers, shared similarities, and the presence of broadband internet. During this phase, Netflix continued to learn about global markers and how to partner with local stakeholders</w:t>
      </w:r>
      <w:r w:rsidR="00B70B4A">
        <w:t xml:space="preserve"> (</w:t>
      </w:r>
      <w:r w:rsidR="00B70B4A" w:rsidRPr="00B70B4A">
        <w:rPr>
          <w:rFonts w:cs="Arial"/>
          <w:szCs w:val="20"/>
          <w:shd w:val="clear" w:color="auto" w:fill="FFFFFF"/>
        </w:rPr>
        <w:t>Davis</w:t>
      </w:r>
      <w:r w:rsidR="00B70B4A">
        <w:rPr>
          <w:rFonts w:cs="Arial"/>
          <w:szCs w:val="20"/>
          <w:shd w:val="clear" w:color="auto" w:fill="FFFFFF"/>
        </w:rPr>
        <w:t xml:space="preserve"> </w:t>
      </w:r>
      <w:r w:rsidR="00B70B4A" w:rsidRPr="00B70B4A">
        <w:rPr>
          <w:rFonts w:cs="Arial"/>
          <w:szCs w:val="20"/>
          <w:shd w:val="clear" w:color="auto" w:fill="FFFFFF"/>
        </w:rPr>
        <w:t xml:space="preserve">&amp; </w:t>
      </w:r>
      <w:proofErr w:type="spellStart"/>
      <w:r w:rsidR="00B70B4A" w:rsidRPr="00B70B4A">
        <w:rPr>
          <w:rFonts w:cs="Arial"/>
          <w:szCs w:val="20"/>
          <w:shd w:val="clear" w:color="auto" w:fill="FFFFFF"/>
        </w:rPr>
        <w:t>Zboralska</w:t>
      </w:r>
      <w:proofErr w:type="spellEnd"/>
      <w:r w:rsidR="00B70B4A">
        <w:rPr>
          <w:rFonts w:cs="Arial"/>
          <w:szCs w:val="20"/>
          <w:shd w:val="clear" w:color="auto" w:fill="FFFFFF"/>
        </w:rPr>
        <w:t>, 2019)</w:t>
      </w:r>
      <w:r>
        <w:t xml:space="preserve">. Rolling this phase was made a success through technological investments in analytics and big data. </w:t>
      </w:r>
      <w:r w:rsidR="00911014">
        <w:t xml:space="preserve">The use of big data and analytics helped Netflix assess the potential markets. Netflix would also gather information on mobile experience, credentials and authentication, and also user interface to improve mobile experience for its subscribers. </w:t>
      </w:r>
    </w:p>
    <w:p w:rsidR="00522ADA" w:rsidRDefault="00277EF0">
      <w:r>
        <w:t xml:space="preserve">Netflix has clearly shown that it is crucial to develop country-specific knowledge for a company to succeed in ay local market. The knowledge accrued must be deep and broad, extending </w:t>
      </w:r>
      <w:r w:rsidR="00522ADA">
        <w:t xml:space="preserve">across customer, technical, institutional, cultural, political, and competitor domain. Netflix became sensitive to different culture and would respond effectively to their difference since the marketing team had an in depth knowledge of the local cultures before rolling out the network in any country. </w:t>
      </w:r>
    </w:p>
    <w:p w:rsidR="00B70B4A" w:rsidRDefault="00522ADA">
      <w:r>
        <w:t>Although Netflix and other companies like Facebook and Twitter has thrived in almost all countries they have been rolled out, there are other companies that have failed terribly in their quest to operate in new countries. One of such companies is Walmart as it tried to expand in Europe and especially in Germany</w:t>
      </w:r>
      <w:r w:rsidR="00B70B4A">
        <w:t xml:space="preserve"> (</w:t>
      </w:r>
      <w:proofErr w:type="spellStart"/>
      <w:r w:rsidR="00B70B4A" w:rsidRPr="00B70B4A">
        <w:rPr>
          <w:rFonts w:cs="Arial"/>
          <w:szCs w:val="20"/>
          <w:shd w:val="clear" w:color="auto" w:fill="FFFFFF"/>
        </w:rPr>
        <w:t>Czinkota</w:t>
      </w:r>
      <w:proofErr w:type="spellEnd"/>
      <w:r w:rsidR="00B70B4A">
        <w:rPr>
          <w:rFonts w:cs="Arial"/>
          <w:szCs w:val="20"/>
          <w:shd w:val="clear" w:color="auto" w:fill="FFFFFF"/>
        </w:rPr>
        <w:t xml:space="preserve"> et al., 2011)</w:t>
      </w:r>
      <w:r>
        <w:t xml:space="preserve">. The core reason of that failure was the inability of the company to understand the cultural variation between Germany and the United States. The labor laws in Germany and the hours for business are also quite intricate in Germany </w:t>
      </w:r>
      <w:r>
        <w:lastRenderedPageBreak/>
        <w:t xml:space="preserve">hence halting the operations of Walmart. </w:t>
      </w:r>
      <w:r w:rsidR="00B70B4A">
        <w:t xml:space="preserve">Another cause of failure is setting shops outside the cities where the Germans were not willing to drive to in search of Walmart services. Other major </w:t>
      </w:r>
      <w:r w:rsidR="00471AD0">
        <w:t>causes of failure in the international market include</w:t>
      </w:r>
      <w:r w:rsidR="00B70B4A">
        <w:t xml:space="preserve"> missing the connection with the local people, ineffective execution, and the high cost of operation in the international market. </w:t>
      </w:r>
    </w:p>
    <w:p w:rsidR="00471AD0" w:rsidRDefault="00471AD0">
      <w:pPr>
        <w:rPr>
          <w:b/>
        </w:rPr>
      </w:pPr>
      <w:r>
        <w:rPr>
          <w:b/>
        </w:rPr>
        <w:br w:type="page"/>
      </w:r>
    </w:p>
    <w:p w:rsidR="00471AD0" w:rsidRDefault="00471AD0" w:rsidP="00471AD0">
      <w:pPr>
        <w:ind w:firstLine="0"/>
        <w:rPr>
          <w:b/>
        </w:rPr>
      </w:pPr>
      <w:r w:rsidRPr="00471AD0">
        <w:rPr>
          <w:b/>
        </w:rPr>
        <w:lastRenderedPageBreak/>
        <w:t>PART 2</w:t>
      </w:r>
    </w:p>
    <w:p w:rsidR="00471AD0" w:rsidRPr="00471AD0" w:rsidRDefault="00471AD0" w:rsidP="00471AD0">
      <w:pPr>
        <w:ind w:firstLine="0"/>
        <w:rPr>
          <w:i/>
        </w:rPr>
      </w:pPr>
      <w:r w:rsidRPr="00471AD0">
        <w:rPr>
          <w:i/>
        </w:rPr>
        <w:t>Hypothesis Testing</w:t>
      </w:r>
    </w:p>
    <w:p w:rsidR="001A17B5" w:rsidRDefault="001A17B5" w:rsidP="001A17B5">
      <w:pPr>
        <w:pStyle w:val="NormalWeb"/>
        <w:spacing w:before="0" w:beforeAutospacing="0" w:after="0" w:afterAutospacing="0" w:line="480" w:lineRule="auto"/>
        <w:ind w:firstLine="720"/>
        <w:contextualSpacing/>
        <w:rPr>
          <w:color w:val="0E101A"/>
        </w:rPr>
      </w:pPr>
      <w:r>
        <w:rPr>
          <w:color w:val="0E101A"/>
        </w:rPr>
        <w:t>The hypothesis here is to determine whether the average time in queue is lower than the industry standard of 2.5 minutes (150 seconds). Therefore, the null hypothesis (</w:t>
      </w:r>
      <w:r>
        <w:rPr>
          <w:rStyle w:val="Strong"/>
          <w:color w:val="0E101A"/>
        </w:rPr>
        <w:t>H0)</w:t>
      </w:r>
      <w:r>
        <w:rPr>
          <w:color w:val="0E101A"/>
        </w:rPr>
        <w:t> is that “the average time in the queue is not lower than the industry standard of 150 seconds”. Thus the alternative hypothesis (</w:t>
      </w:r>
      <w:r>
        <w:rPr>
          <w:rStyle w:val="Strong"/>
          <w:color w:val="0E101A"/>
        </w:rPr>
        <w:t>H1) </w:t>
      </w:r>
      <w:r>
        <w:rPr>
          <w:color w:val="0E101A"/>
        </w:rPr>
        <w:t>is that “The average time in the queue is lower than the industry standard of 150 seconds”. To test for the hypothesis, we use a one-sample t-test at a significant value of 95%. As shown on the table 1.1 and 1.2, the p-value was greater than 0.05 (p-value=0.538 t=-0.616  </w:t>
      </w:r>
    </w:p>
    <w:p w:rsidR="001A17B5" w:rsidRDefault="001A17B5" w:rsidP="001A17B5">
      <w:pPr>
        <w:pStyle w:val="NormalWeb"/>
        <w:spacing w:before="0" w:beforeAutospacing="0" w:after="0" w:afterAutospacing="0" w:line="480" w:lineRule="auto"/>
        <w:ind w:firstLine="720"/>
        <w:contextualSpacing/>
        <w:rPr>
          <w:color w:val="0E101A"/>
        </w:rPr>
      </w:pPr>
      <w:r>
        <w:rPr>
          <w:color w:val="0E101A"/>
        </w:rPr>
        <w:t>0.538&gt;0.05) and thus we failed to reject the null hypothesis. Conclusively then, the average time in the queue is not lower than the industry standard of 150 seconds. Since the analysis shows that the average time taken in the queue is not lower than the recommended or standard time of 150 seconds the company should allocate more resources to improve its average time in queue.</w:t>
      </w:r>
    </w:p>
    <w:p w:rsidR="001A17B5" w:rsidRDefault="001A17B5" w:rsidP="001A17B5">
      <w:pPr>
        <w:pStyle w:val="NormalWeb"/>
        <w:spacing w:before="0" w:beforeAutospacing="0" w:after="0" w:afterAutospacing="0" w:line="480" w:lineRule="auto"/>
        <w:ind w:firstLine="720"/>
        <w:contextualSpacing/>
        <w:rPr>
          <w:color w:val="0E101A"/>
        </w:rPr>
      </w:pPr>
      <w:r>
        <w:rPr>
          <w:color w:val="0E101A"/>
        </w:rPr>
        <w:t>To determine whether the average ST with service protocol PE was lower than with the PT protocol, we used a significance level of α=0.05. The null hypothesis (</w:t>
      </w:r>
      <w:r>
        <w:rPr>
          <w:rStyle w:val="Strong"/>
          <w:color w:val="0E101A"/>
        </w:rPr>
        <w:t>H0</w:t>
      </w:r>
      <w:r>
        <w:rPr>
          <w:color w:val="0E101A"/>
        </w:rPr>
        <w:t>) was that “The average ST with service protocol PE was not lower than with the PT protocol”. The alternative hypothesis (</w:t>
      </w:r>
      <w:r>
        <w:rPr>
          <w:rStyle w:val="Strong"/>
          <w:color w:val="0E101A"/>
        </w:rPr>
        <w:t>H1)</w:t>
      </w:r>
      <w:r>
        <w:rPr>
          <w:color w:val="0E101A"/>
        </w:rPr>
        <w:t xml:space="preserve"> on the other hand was that “The average ST with service protocol PE is lower than with the PT protocol”. Since the PE was lower mean of 149.28 than PT (212.16), we performed a </w:t>
      </w:r>
      <w:proofErr w:type="spellStart"/>
      <w:r>
        <w:rPr>
          <w:color w:val="0E101A"/>
        </w:rPr>
        <w:t>Levene</w:t>
      </w:r>
      <w:proofErr w:type="spellEnd"/>
      <w:r>
        <w:rPr>
          <w:color w:val="0E101A"/>
        </w:rPr>
        <w:t xml:space="preserve"> test (table 1.3 and 1.4). From the analysis, there was statistically significant evidence that the average ST with service protocol PE is lower than with the PT protocol (t=-0.6834</w:t>
      </w:r>
      <w:proofErr w:type="gramStart"/>
      <w:r>
        <w:rPr>
          <w:color w:val="0E101A"/>
        </w:rPr>
        <w:t>,p</w:t>
      </w:r>
      <w:proofErr w:type="gramEnd"/>
      <w:r>
        <w:rPr>
          <w:color w:val="0E101A"/>
        </w:rPr>
        <w:t>=0.00 0p&lt;0.05). It’s clear that the new protocol (PE) served its purpose in improving the quality of call center operations.</w:t>
      </w:r>
    </w:p>
    <w:p w:rsidR="001A17B5" w:rsidRDefault="001A17B5" w:rsidP="001A17B5">
      <w:pPr>
        <w:pStyle w:val="NormalWeb"/>
        <w:spacing w:before="0" w:beforeAutospacing="0" w:after="0" w:afterAutospacing="0"/>
        <w:rPr>
          <w:color w:val="0E101A"/>
        </w:rPr>
      </w:pPr>
    </w:p>
    <w:p w:rsidR="001A17B5" w:rsidRDefault="001A17B5" w:rsidP="001A17B5">
      <w:pPr>
        <w:pStyle w:val="NormalWeb"/>
        <w:spacing w:before="0" w:beforeAutospacing="0" w:after="0" w:afterAutospacing="0"/>
        <w:rPr>
          <w:color w:val="0E101A"/>
        </w:rPr>
      </w:pPr>
      <w:r>
        <w:rPr>
          <w:color w:val="0E101A"/>
        </w:rPr>
        <w:t> </w:t>
      </w:r>
    </w:p>
    <w:p w:rsidR="00471AD0" w:rsidRPr="001A17B5" w:rsidRDefault="001A0EF7" w:rsidP="001A17B5">
      <w:pPr>
        <w:tabs>
          <w:tab w:val="left" w:pos="1635"/>
        </w:tabs>
        <w:ind w:firstLine="0"/>
        <w:rPr>
          <w:u w:val="single"/>
        </w:rPr>
      </w:pPr>
      <w:r w:rsidRPr="001A0EF7">
        <w:rPr>
          <w:u w:val="single"/>
        </w:rPr>
        <w:t>Table 1.1 and 1.2 showing one sample t test output</w:t>
      </w:r>
    </w:p>
    <w:tbl>
      <w:tblPr>
        <w:tblW w:w="6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0"/>
        <w:gridCol w:w="1009"/>
        <w:gridCol w:w="1009"/>
        <w:gridCol w:w="1423"/>
        <w:gridCol w:w="1469"/>
      </w:tblGrid>
      <w:tr w:rsidR="00471AD0" w:rsidRPr="00C430D9" w:rsidTr="00EF05F3">
        <w:trPr>
          <w:cantSplit/>
        </w:trPr>
        <w:tc>
          <w:tcPr>
            <w:tcW w:w="6177" w:type="dxa"/>
            <w:gridSpan w:val="5"/>
            <w:tcBorders>
              <w:top w:val="nil"/>
              <w:left w:val="nil"/>
              <w:bottom w:val="nil"/>
              <w:right w:val="nil"/>
            </w:tcBorders>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b/>
                <w:bCs/>
                <w:color w:val="000000"/>
                <w:sz w:val="18"/>
                <w:szCs w:val="18"/>
              </w:rPr>
              <w:t>One-Sample Statistics</w:t>
            </w:r>
          </w:p>
        </w:tc>
      </w:tr>
      <w:tr w:rsidR="00471AD0" w:rsidRPr="00C430D9" w:rsidTr="00EF05F3">
        <w:trPr>
          <w:cantSplit/>
        </w:trPr>
        <w:tc>
          <w:tcPr>
            <w:tcW w:w="1269" w:type="dxa"/>
            <w:tcBorders>
              <w:top w:val="single" w:sz="16" w:space="0" w:color="000000"/>
              <w:left w:val="single" w:sz="16" w:space="0" w:color="000000"/>
              <w:bottom w:val="single" w:sz="16" w:space="0" w:color="000000"/>
              <w:right w:val="single" w:sz="16" w:space="0" w:color="000000"/>
            </w:tcBorders>
            <w:shd w:val="clear" w:color="auto" w:fill="FFFFFF"/>
          </w:tcPr>
          <w:p w:rsidR="00471AD0" w:rsidRPr="00C430D9" w:rsidRDefault="00471AD0" w:rsidP="00EF05F3">
            <w:pPr>
              <w:autoSpaceDE w:val="0"/>
              <w:autoSpaceDN w:val="0"/>
              <w:adjustRightInd w:val="0"/>
              <w:spacing w:line="320" w:lineRule="atLeast"/>
              <w:ind w:left="60" w:right="60"/>
              <w:rPr>
                <w:rFonts w:ascii="Arial" w:hAnsi="Arial" w:cs="Arial"/>
                <w:color w:val="000000"/>
                <w:sz w:val="18"/>
                <w:szCs w:val="18"/>
              </w:rPr>
            </w:pPr>
          </w:p>
        </w:tc>
        <w:tc>
          <w:tcPr>
            <w:tcW w:w="1009" w:type="dxa"/>
            <w:tcBorders>
              <w:top w:val="single" w:sz="16" w:space="0" w:color="000000"/>
              <w:left w:val="single" w:sz="16" w:space="0" w:color="000000"/>
              <w:bottom w:val="single" w:sz="16" w:space="0" w:color="000000"/>
            </w:tcBorders>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N</w:t>
            </w:r>
          </w:p>
        </w:tc>
        <w:tc>
          <w:tcPr>
            <w:tcW w:w="1009" w:type="dxa"/>
            <w:tcBorders>
              <w:top w:val="single" w:sz="16" w:space="0" w:color="000000"/>
              <w:bottom w:val="single" w:sz="16" w:space="0" w:color="000000"/>
            </w:tcBorders>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Mean</w:t>
            </w:r>
          </w:p>
        </w:tc>
        <w:tc>
          <w:tcPr>
            <w:tcW w:w="1422" w:type="dxa"/>
            <w:tcBorders>
              <w:top w:val="single" w:sz="16" w:space="0" w:color="000000"/>
              <w:bottom w:val="single" w:sz="16" w:space="0" w:color="000000"/>
            </w:tcBorders>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Std. Deviation</w:t>
            </w:r>
          </w:p>
        </w:tc>
        <w:tc>
          <w:tcPr>
            <w:tcW w:w="1468" w:type="dxa"/>
            <w:tcBorders>
              <w:top w:val="single" w:sz="16" w:space="0" w:color="000000"/>
              <w:bottom w:val="single" w:sz="16" w:space="0" w:color="000000"/>
              <w:right w:val="single" w:sz="16" w:space="0" w:color="000000"/>
            </w:tcBorders>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Std. Error Mean</w:t>
            </w:r>
          </w:p>
        </w:tc>
      </w:tr>
      <w:tr w:rsidR="00471AD0" w:rsidRPr="00C430D9" w:rsidTr="00EF05F3">
        <w:trPr>
          <w:cantSplit/>
        </w:trPr>
        <w:tc>
          <w:tcPr>
            <w:tcW w:w="1269"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rPr>
                <w:rFonts w:ascii="Arial" w:hAnsi="Arial" w:cs="Arial"/>
                <w:color w:val="000000"/>
                <w:sz w:val="18"/>
                <w:szCs w:val="18"/>
              </w:rPr>
            </w:pPr>
            <w:r w:rsidRPr="00C430D9">
              <w:rPr>
                <w:rFonts w:ascii="Arial" w:hAnsi="Arial" w:cs="Arial"/>
                <w:color w:val="000000"/>
                <w:sz w:val="18"/>
                <w:szCs w:val="18"/>
              </w:rPr>
              <w:t>Queue</w:t>
            </w:r>
            <w:r>
              <w:rPr>
                <w:rFonts w:ascii="Arial" w:hAnsi="Arial" w:cs="Arial"/>
                <w:color w:val="000000"/>
                <w:sz w:val="18"/>
                <w:szCs w:val="18"/>
              </w:rPr>
              <w:t xml:space="preserve"> </w:t>
            </w:r>
            <w:r w:rsidRPr="00C430D9">
              <w:rPr>
                <w:rFonts w:ascii="Arial" w:hAnsi="Arial" w:cs="Arial"/>
                <w:color w:val="000000"/>
                <w:sz w:val="18"/>
                <w:szCs w:val="18"/>
              </w:rPr>
              <w:t>Time</w:t>
            </w:r>
          </w:p>
        </w:tc>
        <w:tc>
          <w:tcPr>
            <w:tcW w:w="1009" w:type="dxa"/>
            <w:tcBorders>
              <w:top w:val="single" w:sz="16" w:space="0" w:color="000000"/>
              <w:left w:val="single" w:sz="16" w:space="0" w:color="000000"/>
              <w:bottom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C430D9">
              <w:rPr>
                <w:rFonts w:ascii="Arial" w:hAnsi="Arial" w:cs="Arial"/>
                <w:color w:val="000000"/>
                <w:sz w:val="18"/>
                <w:szCs w:val="18"/>
              </w:rPr>
              <w:t>1674</w:t>
            </w:r>
          </w:p>
        </w:tc>
        <w:tc>
          <w:tcPr>
            <w:tcW w:w="1009" w:type="dxa"/>
            <w:tcBorders>
              <w:top w:val="single" w:sz="16" w:space="0" w:color="000000"/>
              <w:bottom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C430D9">
              <w:rPr>
                <w:rFonts w:ascii="Arial" w:hAnsi="Arial" w:cs="Arial"/>
                <w:color w:val="000000"/>
                <w:sz w:val="18"/>
                <w:szCs w:val="18"/>
              </w:rPr>
              <w:t>147.92</w:t>
            </w:r>
          </w:p>
        </w:tc>
        <w:tc>
          <w:tcPr>
            <w:tcW w:w="1422" w:type="dxa"/>
            <w:tcBorders>
              <w:top w:val="single" w:sz="16" w:space="0" w:color="000000"/>
              <w:bottom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C430D9">
              <w:rPr>
                <w:rFonts w:ascii="Arial" w:hAnsi="Arial" w:cs="Arial"/>
                <w:color w:val="000000"/>
                <w:sz w:val="18"/>
                <w:szCs w:val="18"/>
              </w:rPr>
              <w:t>137.971</w:t>
            </w:r>
          </w:p>
        </w:tc>
        <w:tc>
          <w:tcPr>
            <w:tcW w:w="1468" w:type="dxa"/>
            <w:tcBorders>
              <w:top w:val="single" w:sz="16" w:space="0" w:color="000000"/>
              <w:bottom w:val="single" w:sz="16" w:space="0" w:color="000000"/>
              <w:right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C430D9">
              <w:rPr>
                <w:rFonts w:ascii="Arial" w:hAnsi="Arial" w:cs="Arial"/>
                <w:color w:val="000000"/>
                <w:sz w:val="18"/>
                <w:szCs w:val="18"/>
              </w:rPr>
              <w:t>3.372</w:t>
            </w:r>
          </w:p>
        </w:tc>
      </w:tr>
    </w:tbl>
    <w:p w:rsidR="00471AD0" w:rsidRPr="00C430D9" w:rsidRDefault="00471AD0" w:rsidP="00471AD0">
      <w:pPr>
        <w:autoSpaceDE w:val="0"/>
        <w:autoSpaceDN w:val="0"/>
        <w:adjustRightInd w:val="0"/>
        <w:spacing w:line="400" w:lineRule="atLeast"/>
        <w:rPr>
          <w:rFonts w:cs="Times New Roman"/>
          <w:szCs w:val="24"/>
        </w:rPr>
      </w:pPr>
    </w:p>
    <w:p w:rsidR="00471AD0" w:rsidRPr="00C430D9" w:rsidRDefault="00471AD0" w:rsidP="00471AD0">
      <w:pPr>
        <w:autoSpaceDE w:val="0"/>
        <w:autoSpaceDN w:val="0"/>
        <w:adjustRightInd w:val="0"/>
        <w:spacing w:line="240" w:lineRule="auto"/>
        <w:rPr>
          <w:rFonts w:cs="Times New Roman"/>
          <w:szCs w:val="24"/>
        </w:rPr>
      </w:pPr>
    </w:p>
    <w:tbl>
      <w:tblPr>
        <w:tblW w:w="7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7"/>
        <w:gridCol w:w="832"/>
        <w:gridCol w:w="832"/>
        <w:gridCol w:w="1148"/>
        <w:gridCol w:w="1212"/>
        <w:gridCol w:w="1212"/>
        <w:gridCol w:w="1212"/>
      </w:tblGrid>
      <w:tr w:rsidR="00471AD0" w:rsidRPr="00C430D9" w:rsidTr="00471AD0">
        <w:trPr>
          <w:cantSplit/>
          <w:trHeight w:val="307"/>
        </w:trPr>
        <w:tc>
          <w:tcPr>
            <w:tcW w:w="7494" w:type="dxa"/>
            <w:gridSpan w:val="7"/>
            <w:tcBorders>
              <w:top w:val="nil"/>
              <w:left w:val="nil"/>
              <w:bottom w:val="nil"/>
              <w:right w:val="nil"/>
            </w:tcBorders>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b/>
                <w:bCs/>
                <w:color w:val="000000"/>
                <w:sz w:val="18"/>
                <w:szCs w:val="18"/>
              </w:rPr>
              <w:t>One-Sample Test</w:t>
            </w:r>
          </w:p>
        </w:tc>
      </w:tr>
      <w:tr w:rsidR="00471AD0" w:rsidRPr="00C430D9" w:rsidTr="00471AD0">
        <w:trPr>
          <w:cantSplit/>
          <w:trHeight w:val="307"/>
        </w:trPr>
        <w:tc>
          <w:tcPr>
            <w:tcW w:w="1047" w:type="dxa"/>
            <w:vMerge w:val="restart"/>
            <w:tcBorders>
              <w:top w:val="single" w:sz="16" w:space="0" w:color="000000"/>
              <w:left w:val="single" w:sz="16" w:space="0" w:color="000000"/>
              <w:bottom w:val="nil"/>
              <w:right w:val="single" w:sz="16" w:space="0" w:color="000000"/>
            </w:tcBorders>
            <w:shd w:val="clear" w:color="auto" w:fill="FFFFFF"/>
          </w:tcPr>
          <w:p w:rsidR="00471AD0" w:rsidRPr="00C430D9" w:rsidRDefault="00471AD0" w:rsidP="00EF05F3">
            <w:pPr>
              <w:autoSpaceDE w:val="0"/>
              <w:autoSpaceDN w:val="0"/>
              <w:adjustRightInd w:val="0"/>
              <w:spacing w:line="320" w:lineRule="atLeast"/>
              <w:ind w:left="60" w:right="60"/>
              <w:rPr>
                <w:rFonts w:ascii="Arial" w:hAnsi="Arial" w:cs="Arial"/>
                <w:color w:val="000000"/>
                <w:sz w:val="18"/>
                <w:szCs w:val="18"/>
              </w:rPr>
            </w:pPr>
          </w:p>
        </w:tc>
        <w:tc>
          <w:tcPr>
            <w:tcW w:w="6448" w:type="dxa"/>
            <w:gridSpan w:val="6"/>
            <w:tcBorders>
              <w:top w:val="single" w:sz="16" w:space="0" w:color="000000"/>
              <w:left w:val="single" w:sz="16" w:space="0" w:color="000000"/>
            </w:tcBorders>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Test Value = 150</w:t>
            </w:r>
          </w:p>
        </w:tc>
      </w:tr>
      <w:tr w:rsidR="00471AD0" w:rsidRPr="00C430D9" w:rsidTr="00471AD0">
        <w:trPr>
          <w:cantSplit/>
          <w:trHeight w:val="140"/>
        </w:trPr>
        <w:tc>
          <w:tcPr>
            <w:tcW w:w="1047" w:type="dxa"/>
            <w:vMerge/>
            <w:tcBorders>
              <w:top w:val="single" w:sz="16" w:space="0" w:color="000000"/>
              <w:left w:val="single" w:sz="16" w:space="0" w:color="000000"/>
              <w:bottom w:val="nil"/>
              <w:right w:val="single" w:sz="16" w:space="0" w:color="000000"/>
            </w:tcBorders>
            <w:shd w:val="clear" w:color="auto" w:fill="FFFFFF"/>
          </w:tcPr>
          <w:p w:rsidR="00471AD0" w:rsidRPr="00C430D9" w:rsidRDefault="00471AD0" w:rsidP="00EF05F3">
            <w:pPr>
              <w:autoSpaceDE w:val="0"/>
              <w:autoSpaceDN w:val="0"/>
              <w:adjustRightInd w:val="0"/>
              <w:spacing w:line="240" w:lineRule="auto"/>
              <w:rPr>
                <w:rFonts w:ascii="Arial" w:hAnsi="Arial" w:cs="Arial"/>
                <w:color w:val="000000"/>
                <w:sz w:val="18"/>
                <w:szCs w:val="18"/>
              </w:rPr>
            </w:pPr>
          </w:p>
        </w:tc>
        <w:tc>
          <w:tcPr>
            <w:tcW w:w="832" w:type="dxa"/>
            <w:vMerge w:val="restart"/>
            <w:tcBorders>
              <w:left w:val="single" w:sz="16" w:space="0" w:color="000000"/>
            </w:tcBorders>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t</w:t>
            </w:r>
          </w:p>
        </w:tc>
        <w:tc>
          <w:tcPr>
            <w:tcW w:w="832" w:type="dxa"/>
            <w:vMerge w:val="restart"/>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proofErr w:type="spellStart"/>
            <w:r w:rsidRPr="00C430D9">
              <w:rPr>
                <w:rFonts w:ascii="Arial" w:hAnsi="Arial" w:cs="Arial"/>
                <w:color w:val="000000"/>
                <w:sz w:val="18"/>
                <w:szCs w:val="18"/>
              </w:rPr>
              <w:t>df</w:t>
            </w:r>
            <w:proofErr w:type="spellEnd"/>
          </w:p>
        </w:tc>
        <w:tc>
          <w:tcPr>
            <w:tcW w:w="1148" w:type="dxa"/>
            <w:vMerge w:val="restart"/>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Sig. (2-tailed)</w:t>
            </w:r>
          </w:p>
        </w:tc>
        <w:tc>
          <w:tcPr>
            <w:tcW w:w="1212" w:type="dxa"/>
            <w:vMerge w:val="restart"/>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Mean Difference</w:t>
            </w:r>
          </w:p>
        </w:tc>
        <w:tc>
          <w:tcPr>
            <w:tcW w:w="2423" w:type="dxa"/>
            <w:gridSpan w:val="2"/>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95% Confidence Interval of the Difference</w:t>
            </w:r>
          </w:p>
        </w:tc>
      </w:tr>
      <w:tr w:rsidR="00471AD0" w:rsidRPr="00C430D9" w:rsidTr="00471AD0">
        <w:trPr>
          <w:cantSplit/>
          <w:trHeight w:val="140"/>
        </w:trPr>
        <w:tc>
          <w:tcPr>
            <w:tcW w:w="1047" w:type="dxa"/>
            <w:vMerge/>
            <w:tcBorders>
              <w:top w:val="single" w:sz="16" w:space="0" w:color="000000"/>
              <w:left w:val="single" w:sz="16" w:space="0" w:color="000000"/>
              <w:bottom w:val="nil"/>
              <w:right w:val="single" w:sz="16" w:space="0" w:color="000000"/>
            </w:tcBorders>
            <w:shd w:val="clear" w:color="auto" w:fill="FFFFFF"/>
          </w:tcPr>
          <w:p w:rsidR="00471AD0" w:rsidRPr="00C430D9" w:rsidRDefault="00471AD0" w:rsidP="00EF05F3">
            <w:pPr>
              <w:autoSpaceDE w:val="0"/>
              <w:autoSpaceDN w:val="0"/>
              <w:adjustRightInd w:val="0"/>
              <w:spacing w:line="240" w:lineRule="auto"/>
              <w:rPr>
                <w:rFonts w:ascii="Arial" w:hAnsi="Arial" w:cs="Arial"/>
                <w:color w:val="000000"/>
                <w:sz w:val="18"/>
                <w:szCs w:val="18"/>
              </w:rPr>
            </w:pPr>
          </w:p>
        </w:tc>
        <w:tc>
          <w:tcPr>
            <w:tcW w:w="832" w:type="dxa"/>
            <w:vMerge/>
            <w:tcBorders>
              <w:left w:val="single" w:sz="16" w:space="0" w:color="000000"/>
            </w:tcBorders>
            <w:shd w:val="clear" w:color="auto" w:fill="FFFFFF"/>
          </w:tcPr>
          <w:p w:rsidR="00471AD0" w:rsidRPr="00C430D9" w:rsidRDefault="00471AD0" w:rsidP="00EF05F3">
            <w:pPr>
              <w:autoSpaceDE w:val="0"/>
              <w:autoSpaceDN w:val="0"/>
              <w:adjustRightInd w:val="0"/>
              <w:spacing w:line="240" w:lineRule="auto"/>
              <w:rPr>
                <w:rFonts w:ascii="Arial" w:hAnsi="Arial" w:cs="Arial"/>
                <w:color w:val="000000"/>
                <w:sz w:val="18"/>
                <w:szCs w:val="18"/>
              </w:rPr>
            </w:pPr>
          </w:p>
        </w:tc>
        <w:tc>
          <w:tcPr>
            <w:tcW w:w="832" w:type="dxa"/>
            <w:vMerge/>
            <w:shd w:val="clear" w:color="auto" w:fill="FFFFFF"/>
          </w:tcPr>
          <w:p w:rsidR="00471AD0" w:rsidRPr="00C430D9" w:rsidRDefault="00471AD0" w:rsidP="00EF05F3">
            <w:pPr>
              <w:autoSpaceDE w:val="0"/>
              <w:autoSpaceDN w:val="0"/>
              <w:adjustRightInd w:val="0"/>
              <w:spacing w:line="240" w:lineRule="auto"/>
              <w:rPr>
                <w:rFonts w:ascii="Arial" w:hAnsi="Arial" w:cs="Arial"/>
                <w:color w:val="000000"/>
                <w:sz w:val="18"/>
                <w:szCs w:val="18"/>
              </w:rPr>
            </w:pPr>
          </w:p>
        </w:tc>
        <w:tc>
          <w:tcPr>
            <w:tcW w:w="1148" w:type="dxa"/>
            <w:vMerge/>
            <w:shd w:val="clear" w:color="auto" w:fill="FFFFFF"/>
          </w:tcPr>
          <w:p w:rsidR="00471AD0" w:rsidRPr="00C430D9" w:rsidRDefault="00471AD0" w:rsidP="00EF05F3">
            <w:pPr>
              <w:autoSpaceDE w:val="0"/>
              <w:autoSpaceDN w:val="0"/>
              <w:adjustRightInd w:val="0"/>
              <w:spacing w:line="240" w:lineRule="auto"/>
              <w:rPr>
                <w:rFonts w:ascii="Arial" w:hAnsi="Arial" w:cs="Arial"/>
                <w:color w:val="000000"/>
                <w:sz w:val="18"/>
                <w:szCs w:val="18"/>
              </w:rPr>
            </w:pPr>
          </w:p>
        </w:tc>
        <w:tc>
          <w:tcPr>
            <w:tcW w:w="1212" w:type="dxa"/>
            <w:vMerge/>
            <w:shd w:val="clear" w:color="auto" w:fill="FFFFFF"/>
          </w:tcPr>
          <w:p w:rsidR="00471AD0" w:rsidRPr="00C430D9" w:rsidRDefault="00471AD0" w:rsidP="00EF05F3">
            <w:pPr>
              <w:autoSpaceDE w:val="0"/>
              <w:autoSpaceDN w:val="0"/>
              <w:adjustRightInd w:val="0"/>
              <w:spacing w:line="240" w:lineRule="auto"/>
              <w:rPr>
                <w:rFonts w:ascii="Arial" w:hAnsi="Arial" w:cs="Arial"/>
                <w:color w:val="000000"/>
                <w:sz w:val="18"/>
                <w:szCs w:val="18"/>
              </w:rPr>
            </w:pPr>
          </w:p>
        </w:tc>
        <w:tc>
          <w:tcPr>
            <w:tcW w:w="1212" w:type="dxa"/>
            <w:tcBorders>
              <w:bottom w:val="single" w:sz="16" w:space="0" w:color="000000"/>
            </w:tcBorders>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Lower</w:t>
            </w:r>
          </w:p>
        </w:tc>
        <w:tc>
          <w:tcPr>
            <w:tcW w:w="1212" w:type="dxa"/>
            <w:tcBorders>
              <w:bottom w:val="single" w:sz="16" w:space="0" w:color="000000"/>
              <w:right w:val="single" w:sz="16" w:space="0" w:color="000000"/>
            </w:tcBorders>
            <w:shd w:val="clear" w:color="auto" w:fill="FFFFFF"/>
          </w:tcPr>
          <w:p w:rsidR="00471AD0" w:rsidRPr="00C430D9"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C430D9">
              <w:rPr>
                <w:rFonts w:ascii="Arial" w:hAnsi="Arial" w:cs="Arial"/>
                <w:color w:val="000000"/>
                <w:sz w:val="18"/>
                <w:szCs w:val="18"/>
              </w:rPr>
              <w:t>Upper</w:t>
            </w:r>
          </w:p>
        </w:tc>
      </w:tr>
      <w:tr w:rsidR="00471AD0" w:rsidRPr="00C430D9" w:rsidTr="00471AD0">
        <w:trPr>
          <w:cantSplit/>
          <w:trHeight w:val="629"/>
        </w:trPr>
        <w:tc>
          <w:tcPr>
            <w:tcW w:w="1047"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rPr>
                <w:rFonts w:ascii="Arial" w:hAnsi="Arial" w:cs="Arial"/>
                <w:color w:val="000000"/>
                <w:sz w:val="18"/>
                <w:szCs w:val="18"/>
              </w:rPr>
            </w:pPr>
            <w:proofErr w:type="spellStart"/>
            <w:r w:rsidRPr="00C430D9">
              <w:rPr>
                <w:rFonts w:ascii="Arial" w:hAnsi="Arial" w:cs="Arial"/>
                <w:color w:val="000000"/>
                <w:sz w:val="18"/>
                <w:szCs w:val="18"/>
              </w:rPr>
              <w:t>QueueTime</w:t>
            </w:r>
            <w:proofErr w:type="spellEnd"/>
          </w:p>
        </w:tc>
        <w:tc>
          <w:tcPr>
            <w:tcW w:w="832" w:type="dxa"/>
            <w:tcBorders>
              <w:top w:val="single" w:sz="16" w:space="0" w:color="000000"/>
              <w:left w:val="single" w:sz="16" w:space="0" w:color="000000"/>
              <w:bottom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C430D9">
              <w:rPr>
                <w:rFonts w:ascii="Arial" w:hAnsi="Arial" w:cs="Arial"/>
                <w:color w:val="000000"/>
                <w:sz w:val="18"/>
                <w:szCs w:val="18"/>
              </w:rPr>
              <w:t>-.616</w:t>
            </w:r>
          </w:p>
        </w:tc>
        <w:tc>
          <w:tcPr>
            <w:tcW w:w="832" w:type="dxa"/>
            <w:tcBorders>
              <w:top w:val="single" w:sz="16" w:space="0" w:color="000000"/>
              <w:bottom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C430D9">
              <w:rPr>
                <w:rFonts w:ascii="Arial" w:hAnsi="Arial" w:cs="Arial"/>
                <w:color w:val="000000"/>
                <w:sz w:val="18"/>
                <w:szCs w:val="18"/>
              </w:rPr>
              <w:t>1673</w:t>
            </w:r>
          </w:p>
        </w:tc>
        <w:tc>
          <w:tcPr>
            <w:tcW w:w="1148" w:type="dxa"/>
            <w:tcBorders>
              <w:top w:val="single" w:sz="16" w:space="0" w:color="000000"/>
              <w:bottom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C430D9">
              <w:rPr>
                <w:rFonts w:ascii="Arial" w:hAnsi="Arial" w:cs="Arial"/>
                <w:color w:val="000000"/>
                <w:sz w:val="18"/>
                <w:szCs w:val="18"/>
              </w:rPr>
              <w:t>.538</w:t>
            </w:r>
          </w:p>
        </w:tc>
        <w:tc>
          <w:tcPr>
            <w:tcW w:w="1212" w:type="dxa"/>
            <w:tcBorders>
              <w:top w:val="single" w:sz="16" w:space="0" w:color="000000"/>
              <w:bottom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C430D9">
              <w:rPr>
                <w:rFonts w:ascii="Arial" w:hAnsi="Arial" w:cs="Arial"/>
                <w:color w:val="000000"/>
                <w:sz w:val="18"/>
                <w:szCs w:val="18"/>
              </w:rPr>
              <w:t>-2.078</w:t>
            </w:r>
          </w:p>
        </w:tc>
        <w:tc>
          <w:tcPr>
            <w:tcW w:w="1212" w:type="dxa"/>
            <w:tcBorders>
              <w:top w:val="single" w:sz="16" w:space="0" w:color="000000"/>
              <w:bottom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C430D9">
              <w:rPr>
                <w:rFonts w:ascii="Arial" w:hAnsi="Arial" w:cs="Arial"/>
                <w:color w:val="000000"/>
                <w:sz w:val="18"/>
                <w:szCs w:val="18"/>
              </w:rPr>
              <w:t>-8.69</w:t>
            </w:r>
          </w:p>
        </w:tc>
        <w:tc>
          <w:tcPr>
            <w:tcW w:w="1212" w:type="dxa"/>
            <w:tcBorders>
              <w:top w:val="single" w:sz="16" w:space="0" w:color="000000"/>
              <w:bottom w:val="single" w:sz="16" w:space="0" w:color="000000"/>
              <w:right w:val="single" w:sz="16" w:space="0" w:color="000000"/>
            </w:tcBorders>
            <w:shd w:val="clear" w:color="auto" w:fill="FFFFFF"/>
            <w:vAlign w:val="center"/>
          </w:tcPr>
          <w:p w:rsidR="00471AD0" w:rsidRPr="00C430D9"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C430D9">
              <w:rPr>
                <w:rFonts w:ascii="Arial" w:hAnsi="Arial" w:cs="Arial"/>
                <w:color w:val="000000"/>
                <w:sz w:val="18"/>
                <w:szCs w:val="18"/>
              </w:rPr>
              <w:t>4.54</w:t>
            </w:r>
          </w:p>
        </w:tc>
      </w:tr>
    </w:tbl>
    <w:p w:rsidR="00471AD0" w:rsidRPr="00C430D9" w:rsidRDefault="00471AD0" w:rsidP="00471AD0">
      <w:pPr>
        <w:autoSpaceDE w:val="0"/>
        <w:autoSpaceDN w:val="0"/>
        <w:adjustRightInd w:val="0"/>
        <w:spacing w:line="400" w:lineRule="atLeast"/>
        <w:rPr>
          <w:rFonts w:cs="Times New Roman"/>
          <w:szCs w:val="24"/>
        </w:rPr>
      </w:pPr>
    </w:p>
    <w:p w:rsidR="00471AD0" w:rsidRPr="001A17B5" w:rsidRDefault="001A17B5" w:rsidP="001A17B5">
      <w:pPr>
        <w:autoSpaceDE w:val="0"/>
        <w:autoSpaceDN w:val="0"/>
        <w:adjustRightInd w:val="0"/>
        <w:spacing w:line="240" w:lineRule="auto"/>
        <w:ind w:firstLine="0"/>
        <w:rPr>
          <w:rFonts w:cs="Times New Roman"/>
          <w:szCs w:val="24"/>
          <w:u w:val="single"/>
        </w:rPr>
      </w:pPr>
      <w:r w:rsidRPr="001A17B5">
        <w:rPr>
          <w:rFonts w:cs="Times New Roman"/>
          <w:szCs w:val="24"/>
          <w:u w:val="single"/>
        </w:rPr>
        <w:t xml:space="preserve">Table 1.3 and 1.4 showing ANOVA’S </w:t>
      </w:r>
      <w:proofErr w:type="spellStart"/>
      <w:r w:rsidRPr="001A17B5">
        <w:rPr>
          <w:rFonts w:cs="Times New Roman"/>
          <w:szCs w:val="24"/>
          <w:u w:val="single"/>
        </w:rPr>
        <w:t>Lavene</w:t>
      </w:r>
      <w:proofErr w:type="spellEnd"/>
      <w:r w:rsidRPr="001A17B5">
        <w:rPr>
          <w:rFonts w:cs="Times New Roman"/>
          <w:szCs w:val="24"/>
          <w:u w:val="single"/>
        </w:rPr>
        <w:t xml:space="preserve"> test</w:t>
      </w:r>
    </w:p>
    <w:tbl>
      <w:tblPr>
        <w:tblW w:w="75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15"/>
        <w:gridCol w:w="1362"/>
        <w:gridCol w:w="1009"/>
        <w:gridCol w:w="1009"/>
        <w:gridCol w:w="1423"/>
        <w:gridCol w:w="1469"/>
      </w:tblGrid>
      <w:tr w:rsidR="00471AD0" w:rsidRPr="00166261" w:rsidTr="001A17B5">
        <w:trPr>
          <w:cantSplit/>
        </w:trPr>
        <w:tc>
          <w:tcPr>
            <w:tcW w:w="7587" w:type="dxa"/>
            <w:gridSpan w:val="6"/>
            <w:tcBorders>
              <w:top w:val="nil"/>
              <w:left w:val="nil"/>
              <w:bottom w:val="nil"/>
              <w:right w:val="nil"/>
            </w:tcBorders>
            <w:shd w:val="clear" w:color="auto" w:fill="FFFFFF"/>
          </w:tcPr>
          <w:p w:rsidR="00471AD0" w:rsidRPr="00166261"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166261">
              <w:rPr>
                <w:rFonts w:ascii="Arial" w:hAnsi="Arial" w:cs="Arial"/>
                <w:b/>
                <w:bCs/>
                <w:color w:val="000000"/>
                <w:sz w:val="18"/>
                <w:szCs w:val="18"/>
              </w:rPr>
              <w:t>Group Statistics</w:t>
            </w:r>
          </w:p>
        </w:tc>
      </w:tr>
      <w:tr w:rsidR="00471AD0" w:rsidRPr="00166261" w:rsidTr="001A17B5">
        <w:trPr>
          <w:cantSplit/>
        </w:trPr>
        <w:tc>
          <w:tcPr>
            <w:tcW w:w="1315" w:type="dxa"/>
            <w:vAlign w:val="center"/>
          </w:tcPr>
          <w:p w:rsidR="00471AD0" w:rsidRPr="00166261" w:rsidRDefault="00471AD0" w:rsidP="00EF05F3">
            <w:pPr>
              <w:autoSpaceDE w:val="0"/>
              <w:autoSpaceDN w:val="0"/>
              <w:adjustRightInd w:val="0"/>
              <w:spacing w:line="240" w:lineRule="auto"/>
              <w:rPr>
                <w:rFonts w:ascii="Arial" w:hAnsi="Arial" w:cs="Arial"/>
                <w:color w:val="000000"/>
                <w:sz w:val="18"/>
                <w:szCs w:val="18"/>
              </w:rPr>
            </w:pPr>
          </w:p>
        </w:tc>
        <w:tc>
          <w:tcPr>
            <w:tcW w:w="1362" w:type="dxa"/>
            <w:tcBorders>
              <w:top w:val="single" w:sz="16" w:space="0" w:color="000000"/>
              <w:left w:val="nil"/>
              <w:bottom w:val="single" w:sz="16" w:space="0" w:color="000000"/>
              <w:right w:val="single" w:sz="16" w:space="0" w:color="000000"/>
            </w:tcBorders>
            <w:shd w:val="clear" w:color="auto" w:fill="FFFFFF"/>
          </w:tcPr>
          <w:p w:rsidR="00471AD0" w:rsidRPr="00166261" w:rsidRDefault="00471AD0" w:rsidP="00EF05F3">
            <w:pPr>
              <w:autoSpaceDE w:val="0"/>
              <w:autoSpaceDN w:val="0"/>
              <w:adjustRightInd w:val="0"/>
              <w:spacing w:line="320" w:lineRule="atLeast"/>
              <w:ind w:left="60" w:right="60"/>
              <w:rPr>
                <w:rFonts w:ascii="Arial" w:hAnsi="Arial" w:cs="Arial"/>
                <w:color w:val="000000"/>
                <w:sz w:val="18"/>
                <w:szCs w:val="18"/>
              </w:rPr>
            </w:pPr>
            <w:r w:rsidRPr="00166261">
              <w:rPr>
                <w:rFonts w:ascii="Arial" w:hAnsi="Arial" w:cs="Arial"/>
                <w:color w:val="000000"/>
                <w:sz w:val="18"/>
                <w:szCs w:val="18"/>
              </w:rPr>
              <w:t>Protocol</w:t>
            </w:r>
            <w:r>
              <w:rPr>
                <w:rFonts w:ascii="Arial" w:hAnsi="Arial" w:cs="Arial"/>
                <w:color w:val="000000"/>
                <w:sz w:val="18"/>
                <w:szCs w:val="18"/>
              </w:rPr>
              <w:t xml:space="preserve"> </w:t>
            </w:r>
            <w:r w:rsidRPr="00166261">
              <w:rPr>
                <w:rFonts w:ascii="Arial" w:hAnsi="Arial" w:cs="Arial"/>
                <w:color w:val="000000"/>
                <w:sz w:val="18"/>
                <w:szCs w:val="18"/>
              </w:rPr>
              <w:t>Type</w:t>
            </w:r>
          </w:p>
        </w:tc>
        <w:tc>
          <w:tcPr>
            <w:tcW w:w="1009" w:type="dxa"/>
            <w:tcBorders>
              <w:top w:val="single" w:sz="16" w:space="0" w:color="000000"/>
              <w:left w:val="single" w:sz="16" w:space="0" w:color="000000"/>
              <w:bottom w:val="single" w:sz="16" w:space="0" w:color="000000"/>
            </w:tcBorders>
            <w:shd w:val="clear" w:color="auto" w:fill="FFFFFF"/>
          </w:tcPr>
          <w:p w:rsidR="00471AD0" w:rsidRPr="00166261"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166261">
              <w:rPr>
                <w:rFonts w:ascii="Arial" w:hAnsi="Arial" w:cs="Arial"/>
                <w:color w:val="000000"/>
                <w:sz w:val="18"/>
                <w:szCs w:val="18"/>
              </w:rPr>
              <w:t>N</w:t>
            </w:r>
          </w:p>
        </w:tc>
        <w:tc>
          <w:tcPr>
            <w:tcW w:w="1009" w:type="dxa"/>
            <w:tcBorders>
              <w:top w:val="single" w:sz="16" w:space="0" w:color="000000"/>
              <w:bottom w:val="single" w:sz="16" w:space="0" w:color="000000"/>
            </w:tcBorders>
            <w:shd w:val="clear" w:color="auto" w:fill="FFFFFF"/>
          </w:tcPr>
          <w:p w:rsidR="00471AD0" w:rsidRPr="00166261"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166261">
              <w:rPr>
                <w:rFonts w:ascii="Arial" w:hAnsi="Arial" w:cs="Arial"/>
                <w:color w:val="000000"/>
                <w:sz w:val="18"/>
                <w:szCs w:val="18"/>
              </w:rPr>
              <w:t>Mean</w:t>
            </w:r>
          </w:p>
        </w:tc>
        <w:tc>
          <w:tcPr>
            <w:tcW w:w="1423" w:type="dxa"/>
            <w:tcBorders>
              <w:top w:val="single" w:sz="16" w:space="0" w:color="000000"/>
              <w:bottom w:val="single" w:sz="16" w:space="0" w:color="000000"/>
            </w:tcBorders>
            <w:shd w:val="clear" w:color="auto" w:fill="FFFFFF"/>
          </w:tcPr>
          <w:p w:rsidR="00471AD0" w:rsidRPr="00166261"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166261">
              <w:rPr>
                <w:rFonts w:ascii="Arial" w:hAnsi="Arial" w:cs="Arial"/>
                <w:color w:val="000000"/>
                <w:sz w:val="18"/>
                <w:szCs w:val="18"/>
              </w:rPr>
              <w:t>Std. Deviation</w:t>
            </w:r>
          </w:p>
        </w:tc>
        <w:tc>
          <w:tcPr>
            <w:tcW w:w="1469" w:type="dxa"/>
            <w:tcBorders>
              <w:top w:val="single" w:sz="16" w:space="0" w:color="000000"/>
              <w:bottom w:val="single" w:sz="16" w:space="0" w:color="000000"/>
              <w:right w:val="single" w:sz="16" w:space="0" w:color="000000"/>
            </w:tcBorders>
            <w:shd w:val="clear" w:color="auto" w:fill="FFFFFF"/>
          </w:tcPr>
          <w:p w:rsidR="00471AD0" w:rsidRPr="00166261" w:rsidRDefault="00471AD0" w:rsidP="00EF05F3">
            <w:pPr>
              <w:autoSpaceDE w:val="0"/>
              <w:autoSpaceDN w:val="0"/>
              <w:adjustRightInd w:val="0"/>
              <w:spacing w:line="320" w:lineRule="atLeast"/>
              <w:ind w:left="60" w:right="60"/>
              <w:jc w:val="center"/>
              <w:rPr>
                <w:rFonts w:ascii="Arial" w:hAnsi="Arial" w:cs="Arial"/>
                <w:color w:val="000000"/>
                <w:sz w:val="18"/>
                <w:szCs w:val="18"/>
              </w:rPr>
            </w:pPr>
            <w:r w:rsidRPr="00166261">
              <w:rPr>
                <w:rFonts w:ascii="Arial" w:hAnsi="Arial" w:cs="Arial"/>
                <w:color w:val="000000"/>
                <w:sz w:val="18"/>
                <w:szCs w:val="18"/>
              </w:rPr>
              <w:t>Std. Error Mean</w:t>
            </w:r>
          </w:p>
        </w:tc>
      </w:tr>
      <w:tr w:rsidR="00471AD0" w:rsidRPr="00166261" w:rsidTr="001A17B5">
        <w:trPr>
          <w:cantSplit/>
        </w:trPr>
        <w:tc>
          <w:tcPr>
            <w:tcW w:w="1315" w:type="dxa"/>
            <w:vMerge w:val="restart"/>
            <w:tcBorders>
              <w:top w:val="single" w:sz="16" w:space="0" w:color="000000"/>
              <w:left w:val="single" w:sz="16" w:space="0" w:color="000000"/>
              <w:bottom w:val="single" w:sz="16" w:space="0" w:color="000000"/>
              <w:right w:val="nil"/>
            </w:tcBorders>
            <w:shd w:val="clear" w:color="auto" w:fill="FFFFFF"/>
            <w:vAlign w:val="center"/>
          </w:tcPr>
          <w:p w:rsidR="00471AD0" w:rsidRPr="00166261" w:rsidRDefault="00471AD0" w:rsidP="00EF05F3">
            <w:pPr>
              <w:autoSpaceDE w:val="0"/>
              <w:autoSpaceDN w:val="0"/>
              <w:adjustRightInd w:val="0"/>
              <w:spacing w:line="320" w:lineRule="atLeast"/>
              <w:ind w:left="60" w:right="60"/>
              <w:rPr>
                <w:rFonts w:ascii="Arial" w:hAnsi="Arial" w:cs="Arial"/>
                <w:color w:val="000000"/>
                <w:sz w:val="18"/>
                <w:szCs w:val="18"/>
              </w:rPr>
            </w:pPr>
            <w:r w:rsidRPr="00166261">
              <w:rPr>
                <w:rFonts w:ascii="Arial" w:hAnsi="Arial" w:cs="Arial"/>
                <w:color w:val="000000"/>
                <w:sz w:val="18"/>
                <w:szCs w:val="18"/>
              </w:rPr>
              <w:t>Service</w:t>
            </w:r>
            <w:r>
              <w:rPr>
                <w:rFonts w:ascii="Arial" w:hAnsi="Arial" w:cs="Arial"/>
                <w:color w:val="000000"/>
                <w:sz w:val="18"/>
                <w:szCs w:val="18"/>
              </w:rPr>
              <w:t xml:space="preserve"> </w:t>
            </w:r>
            <w:r w:rsidRPr="00166261">
              <w:rPr>
                <w:rFonts w:ascii="Arial" w:hAnsi="Arial" w:cs="Arial"/>
                <w:color w:val="000000"/>
                <w:sz w:val="18"/>
                <w:szCs w:val="18"/>
              </w:rPr>
              <w:t>Time</w:t>
            </w:r>
          </w:p>
        </w:tc>
        <w:tc>
          <w:tcPr>
            <w:tcW w:w="1362" w:type="dxa"/>
            <w:tcBorders>
              <w:top w:val="single" w:sz="16" w:space="0" w:color="000000"/>
              <w:left w:val="nil"/>
              <w:bottom w:val="nil"/>
              <w:right w:val="single" w:sz="16" w:space="0" w:color="000000"/>
            </w:tcBorders>
            <w:shd w:val="clear" w:color="auto" w:fill="FFFFFF"/>
            <w:vAlign w:val="center"/>
          </w:tcPr>
          <w:p w:rsidR="00471AD0" w:rsidRPr="00166261" w:rsidRDefault="00471AD0" w:rsidP="00EF05F3">
            <w:pPr>
              <w:autoSpaceDE w:val="0"/>
              <w:autoSpaceDN w:val="0"/>
              <w:adjustRightInd w:val="0"/>
              <w:spacing w:line="320" w:lineRule="atLeast"/>
              <w:ind w:left="60" w:right="60"/>
              <w:rPr>
                <w:rFonts w:ascii="Arial" w:hAnsi="Arial" w:cs="Arial"/>
                <w:color w:val="000000"/>
                <w:sz w:val="18"/>
                <w:szCs w:val="18"/>
              </w:rPr>
            </w:pPr>
            <w:r w:rsidRPr="00166261">
              <w:rPr>
                <w:rFonts w:ascii="Arial" w:hAnsi="Arial" w:cs="Arial"/>
                <w:color w:val="000000"/>
                <w:sz w:val="18"/>
                <w:szCs w:val="18"/>
              </w:rPr>
              <w:t>PE</w:t>
            </w:r>
          </w:p>
        </w:tc>
        <w:tc>
          <w:tcPr>
            <w:tcW w:w="1009" w:type="dxa"/>
            <w:tcBorders>
              <w:top w:val="single" w:sz="16" w:space="0" w:color="000000"/>
              <w:left w:val="single" w:sz="16" w:space="0" w:color="000000"/>
              <w:bottom w:val="nil"/>
            </w:tcBorders>
            <w:shd w:val="clear" w:color="auto" w:fill="FFFFFF"/>
            <w:vAlign w:val="center"/>
          </w:tcPr>
          <w:p w:rsidR="00471AD0" w:rsidRPr="00166261"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166261">
              <w:rPr>
                <w:rFonts w:ascii="Arial" w:hAnsi="Arial" w:cs="Arial"/>
                <w:color w:val="000000"/>
                <w:sz w:val="18"/>
                <w:szCs w:val="18"/>
              </w:rPr>
              <w:t>853</w:t>
            </w:r>
          </w:p>
        </w:tc>
        <w:tc>
          <w:tcPr>
            <w:tcW w:w="1009" w:type="dxa"/>
            <w:tcBorders>
              <w:top w:val="single" w:sz="16" w:space="0" w:color="000000"/>
              <w:bottom w:val="nil"/>
            </w:tcBorders>
            <w:shd w:val="clear" w:color="auto" w:fill="FFFFFF"/>
            <w:vAlign w:val="center"/>
          </w:tcPr>
          <w:p w:rsidR="00471AD0" w:rsidRPr="00166261"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166261">
              <w:rPr>
                <w:rFonts w:ascii="Arial" w:hAnsi="Arial" w:cs="Arial"/>
                <w:color w:val="000000"/>
                <w:sz w:val="18"/>
                <w:szCs w:val="18"/>
              </w:rPr>
              <w:t>149.28</w:t>
            </w:r>
          </w:p>
        </w:tc>
        <w:tc>
          <w:tcPr>
            <w:tcW w:w="1423" w:type="dxa"/>
            <w:tcBorders>
              <w:top w:val="single" w:sz="16" w:space="0" w:color="000000"/>
              <w:bottom w:val="nil"/>
            </w:tcBorders>
            <w:shd w:val="clear" w:color="auto" w:fill="FFFFFF"/>
            <w:vAlign w:val="center"/>
          </w:tcPr>
          <w:p w:rsidR="00471AD0" w:rsidRPr="00166261"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166261">
              <w:rPr>
                <w:rFonts w:ascii="Arial" w:hAnsi="Arial" w:cs="Arial"/>
                <w:color w:val="000000"/>
                <w:sz w:val="18"/>
                <w:szCs w:val="18"/>
              </w:rPr>
              <w:t>185.894</w:t>
            </w:r>
          </w:p>
        </w:tc>
        <w:tc>
          <w:tcPr>
            <w:tcW w:w="1469" w:type="dxa"/>
            <w:tcBorders>
              <w:top w:val="single" w:sz="16" w:space="0" w:color="000000"/>
              <w:bottom w:val="nil"/>
              <w:right w:val="single" w:sz="16" w:space="0" w:color="000000"/>
            </w:tcBorders>
            <w:shd w:val="clear" w:color="auto" w:fill="FFFFFF"/>
            <w:vAlign w:val="center"/>
          </w:tcPr>
          <w:p w:rsidR="00471AD0" w:rsidRPr="00166261"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166261">
              <w:rPr>
                <w:rFonts w:ascii="Arial" w:hAnsi="Arial" w:cs="Arial"/>
                <w:color w:val="000000"/>
                <w:sz w:val="18"/>
                <w:szCs w:val="18"/>
              </w:rPr>
              <w:t>6.365</w:t>
            </w:r>
          </w:p>
        </w:tc>
      </w:tr>
      <w:tr w:rsidR="00471AD0" w:rsidRPr="00166261" w:rsidTr="001A17B5">
        <w:trPr>
          <w:cantSplit/>
        </w:trPr>
        <w:tc>
          <w:tcPr>
            <w:tcW w:w="1315" w:type="dxa"/>
            <w:vMerge/>
            <w:tcBorders>
              <w:top w:val="single" w:sz="16" w:space="0" w:color="000000"/>
              <w:left w:val="single" w:sz="16" w:space="0" w:color="000000"/>
              <w:bottom w:val="single" w:sz="16" w:space="0" w:color="000000"/>
              <w:right w:val="nil"/>
            </w:tcBorders>
            <w:shd w:val="clear" w:color="auto" w:fill="FFFFFF"/>
            <w:vAlign w:val="center"/>
          </w:tcPr>
          <w:p w:rsidR="00471AD0" w:rsidRPr="00166261" w:rsidRDefault="00471AD0" w:rsidP="00EF05F3">
            <w:pPr>
              <w:autoSpaceDE w:val="0"/>
              <w:autoSpaceDN w:val="0"/>
              <w:adjustRightInd w:val="0"/>
              <w:spacing w:line="240" w:lineRule="auto"/>
              <w:rPr>
                <w:rFonts w:ascii="Arial" w:hAnsi="Arial" w:cs="Arial"/>
                <w:color w:val="000000"/>
                <w:sz w:val="18"/>
                <w:szCs w:val="18"/>
              </w:rPr>
            </w:pPr>
          </w:p>
        </w:tc>
        <w:tc>
          <w:tcPr>
            <w:tcW w:w="1362" w:type="dxa"/>
            <w:tcBorders>
              <w:top w:val="nil"/>
              <w:left w:val="nil"/>
              <w:bottom w:val="nil"/>
              <w:right w:val="single" w:sz="16" w:space="0" w:color="000000"/>
            </w:tcBorders>
            <w:shd w:val="clear" w:color="auto" w:fill="FFFFFF"/>
            <w:vAlign w:val="center"/>
          </w:tcPr>
          <w:p w:rsidR="00471AD0" w:rsidRPr="00166261" w:rsidRDefault="00471AD0" w:rsidP="00EF05F3">
            <w:pPr>
              <w:autoSpaceDE w:val="0"/>
              <w:autoSpaceDN w:val="0"/>
              <w:adjustRightInd w:val="0"/>
              <w:spacing w:line="320" w:lineRule="atLeast"/>
              <w:ind w:left="60" w:right="60"/>
              <w:rPr>
                <w:rFonts w:ascii="Arial" w:hAnsi="Arial" w:cs="Arial"/>
                <w:color w:val="000000"/>
                <w:sz w:val="18"/>
                <w:szCs w:val="18"/>
              </w:rPr>
            </w:pPr>
            <w:r w:rsidRPr="00166261">
              <w:rPr>
                <w:rFonts w:ascii="Arial" w:hAnsi="Arial" w:cs="Arial"/>
                <w:color w:val="000000"/>
                <w:sz w:val="18"/>
                <w:szCs w:val="18"/>
              </w:rPr>
              <w:t>PT</w:t>
            </w:r>
          </w:p>
        </w:tc>
        <w:tc>
          <w:tcPr>
            <w:tcW w:w="1009" w:type="dxa"/>
            <w:tcBorders>
              <w:top w:val="nil"/>
              <w:left w:val="single" w:sz="16" w:space="0" w:color="000000"/>
              <w:bottom w:val="nil"/>
            </w:tcBorders>
            <w:shd w:val="clear" w:color="auto" w:fill="FFFFFF"/>
            <w:vAlign w:val="center"/>
          </w:tcPr>
          <w:p w:rsidR="00471AD0" w:rsidRPr="00166261"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166261">
              <w:rPr>
                <w:rFonts w:ascii="Arial" w:hAnsi="Arial" w:cs="Arial"/>
                <w:color w:val="000000"/>
                <w:sz w:val="18"/>
                <w:szCs w:val="18"/>
              </w:rPr>
              <w:t>821</w:t>
            </w:r>
          </w:p>
        </w:tc>
        <w:tc>
          <w:tcPr>
            <w:tcW w:w="1009" w:type="dxa"/>
            <w:tcBorders>
              <w:top w:val="nil"/>
              <w:bottom w:val="nil"/>
            </w:tcBorders>
            <w:shd w:val="clear" w:color="auto" w:fill="FFFFFF"/>
            <w:vAlign w:val="center"/>
          </w:tcPr>
          <w:p w:rsidR="00471AD0" w:rsidRPr="00166261"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166261">
              <w:rPr>
                <w:rFonts w:ascii="Arial" w:hAnsi="Arial" w:cs="Arial"/>
                <w:color w:val="000000"/>
                <w:sz w:val="18"/>
                <w:szCs w:val="18"/>
              </w:rPr>
              <w:t>212.16</w:t>
            </w:r>
          </w:p>
        </w:tc>
        <w:tc>
          <w:tcPr>
            <w:tcW w:w="1423" w:type="dxa"/>
            <w:tcBorders>
              <w:top w:val="nil"/>
              <w:bottom w:val="nil"/>
            </w:tcBorders>
            <w:shd w:val="clear" w:color="auto" w:fill="FFFFFF"/>
            <w:vAlign w:val="center"/>
          </w:tcPr>
          <w:p w:rsidR="00471AD0" w:rsidRPr="00166261"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166261">
              <w:rPr>
                <w:rFonts w:ascii="Arial" w:hAnsi="Arial" w:cs="Arial"/>
                <w:color w:val="000000"/>
                <w:sz w:val="18"/>
                <w:szCs w:val="18"/>
              </w:rPr>
              <w:t>190.580</w:t>
            </w:r>
          </w:p>
        </w:tc>
        <w:tc>
          <w:tcPr>
            <w:tcW w:w="1469" w:type="dxa"/>
            <w:tcBorders>
              <w:top w:val="nil"/>
              <w:bottom w:val="nil"/>
              <w:right w:val="single" w:sz="16" w:space="0" w:color="000000"/>
            </w:tcBorders>
            <w:shd w:val="clear" w:color="auto" w:fill="FFFFFF"/>
            <w:vAlign w:val="center"/>
          </w:tcPr>
          <w:p w:rsidR="00471AD0" w:rsidRPr="00166261" w:rsidRDefault="00471AD0" w:rsidP="00EF05F3">
            <w:pPr>
              <w:autoSpaceDE w:val="0"/>
              <w:autoSpaceDN w:val="0"/>
              <w:adjustRightInd w:val="0"/>
              <w:spacing w:line="320" w:lineRule="atLeast"/>
              <w:ind w:left="60" w:right="60"/>
              <w:jc w:val="right"/>
              <w:rPr>
                <w:rFonts w:ascii="Arial" w:hAnsi="Arial" w:cs="Arial"/>
                <w:color w:val="000000"/>
                <w:sz w:val="18"/>
                <w:szCs w:val="18"/>
              </w:rPr>
            </w:pPr>
            <w:r w:rsidRPr="00166261">
              <w:rPr>
                <w:rFonts w:ascii="Arial" w:hAnsi="Arial" w:cs="Arial"/>
                <w:color w:val="000000"/>
                <w:sz w:val="18"/>
                <w:szCs w:val="18"/>
              </w:rPr>
              <w:t>6.651</w:t>
            </w:r>
          </w:p>
        </w:tc>
      </w:tr>
      <w:tr w:rsidR="001A17B5" w:rsidRPr="00166261" w:rsidTr="001A17B5">
        <w:trPr>
          <w:cantSplit/>
        </w:trPr>
        <w:tc>
          <w:tcPr>
            <w:tcW w:w="1315" w:type="dxa"/>
            <w:tcBorders>
              <w:top w:val="single" w:sz="16" w:space="0" w:color="000000"/>
              <w:left w:val="single" w:sz="16" w:space="0" w:color="000000"/>
              <w:bottom w:val="single" w:sz="16" w:space="0" w:color="000000"/>
              <w:right w:val="nil"/>
            </w:tcBorders>
            <w:shd w:val="clear" w:color="auto" w:fill="FFFFFF"/>
            <w:vAlign w:val="center"/>
          </w:tcPr>
          <w:p w:rsidR="001A17B5" w:rsidRPr="00166261" w:rsidRDefault="001A17B5" w:rsidP="00EF05F3">
            <w:pPr>
              <w:autoSpaceDE w:val="0"/>
              <w:autoSpaceDN w:val="0"/>
              <w:adjustRightInd w:val="0"/>
              <w:spacing w:line="240" w:lineRule="auto"/>
              <w:rPr>
                <w:rFonts w:ascii="Arial" w:hAnsi="Arial" w:cs="Arial"/>
                <w:color w:val="000000"/>
                <w:sz w:val="18"/>
                <w:szCs w:val="18"/>
              </w:rPr>
            </w:pPr>
          </w:p>
        </w:tc>
        <w:tc>
          <w:tcPr>
            <w:tcW w:w="1362" w:type="dxa"/>
            <w:tcBorders>
              <w:top w:val="nil"/>
              <w:left w:val="nil"/>
              <w:bottom w:val="single" w:sz="16" w:space="0" w:color="000000"/>
              <w:right w:val="single" w:sz="16" w:space="0" w:color="000000"/>
            </w:tcBorders>
            <w:shd w:val="clear" w:color="auto" w:fill="FFFFFF"/>
            <w:vAlign w:val="center"/>
          </w:tcPr>
          <w:p w:rsidR="001A17B5" w:rsidRPr="00166261" w:rsidRDefault="001A17B5" w:rsidP="00EF05F3">
            <w:pPr>
              <w:autoSpaceDE w:val="0"/>
              <w:autoSpaceDN w:val="0"/>
              <w:adjustRightInd w:val="0"/>
              <w:spacing w:line="320" w:lineRule="atLeast"/>
              <w:ind w:left="60" w:right="60"/>
              <w:rPr>
                <w:rFonts w:ascii="Arial" w:hAnsi="Arial" w:cs="Arial"/>
                <w:color w:val="000000"/>
                <w:sz w:val="18"/>
                <w:szCs w:val="18"/>
              </w:rPr>
            </w:pPr>
          </w:p>
        </w:tc>
        <w:tc>
          <w:tcPr>
            <w:tcW w:w="1009" w:type="dxa"/>
            <w:tcBorders>
              <w:top w:val="nil"/>
              <w:left w:val="single" w:sz="16" w:space="0" w:color="000000"/>
              <w:bottom w:val="single" w:sz="16" w:space="0" w:color="000000"/>
            </w:tcBorders>
            <w:shd w:val="clear" w:color="auto" w:fill="FFFFFF"/>
            <w:vAlign w:val="center"/>
          </w:tcPr>
          <w:p w:rsidR="001A17B5" w:rsidRPr="00166261" w:rsidRDefault="001A17B5" w:rsidP="00EF05F3">
            <w:pPr>
              <w:autoSpaceDE w:val="0"/>
              <w:autoSpaceDN w:val="0"/>
              <w:adjustRightInd w:val="0"/>
              <w:spacing w:line="320" w:lineRule="atLeast"/>
              <w:ind w:left="60" w:right="60"/>
              <w:jc w:val="right"/>
              <w:rPr>
                <w:rFonts w:ascii="Arial" w:hAnsi="Arial" w:cs="Arial"/>
                <w:color w:val="000000"/>
                <w:sz w:val="18"/>
                <w:szCs w:val="18"/>
              </w:rPr>
            </w:pPr>
          </w:p>
        </w:tc>
        <w:tc>
          <w:tcPr>
            <w:tcW w:w="1009" w:type="dxa"/>
            <w:tcBorders>
              <w:top w:val="nil"/>
              <w:bottom w:val="single" w:sz="16" w:space="0" w:color="000000"/>
            </w:tcBorders>
            <w:shd w:val="clear" w:color="auto" w:fill="FFFFFF"/>
            <w:vAlign w:val="center"/>
          </w:tcPr>
          <w:p w:rsidR="001A17B5" w:rsidRPr="00166261" w:rsidRDefault="001A17B5" w:rsidP="00EF05F3">
            <w:pPr>
              <w:autoSpaceDE w:val="0"/>
              <w:autoSpaceDN w:val="0"/>
              <w:adjustRightInd w:val="0"/>
              <w:spacing w:line="320" w:lineRule="atLeast"/>
              <w:ind w:left="60" w:right="60"/>
              <w:jc w:val="right"/>
              <w:rPr>
                <w:rFonts w:ascii="Arial" w:hAnsi="Arial" w:cs="Arial"/>
                <w:color w:val="000000"/>
                <w:sz w:val="18"/>
                <w:szCs w:val="18"/>
              </w:rPr>
            </w:pPr>
          </w:p>
        </w:tc>
        <w:tc>
          <w:tcPr>
            <w:tcW w:w="1423" w:type="dxa"/>
            <w:tcBorders>
              <w:top w:val="nil"/>
              <w:bottom w:val="single" w:sz="16" w:space="0" w:color="000000"/>
            </w:tcBorders>
            <w:shd w:val="clear" w:color="auto" w:fill="FFFFFF"/>
            <w:vAlign w:val="center"/>
          </w:tcPr>
          <w:p w:rsidR="001A17B5" w:rsidRPr="00166261" w:rsidRDefault="001A17B5" w:rsidP="00EF05F3">
            <w:pPr>
              <w:autoSpaceDE w:val="0"/>
              <w:autoSpaceDN w:val="0"/>
              <w:adjustRightInd w:val="0"/>
              <w:spacing w:line="320" w:lineRule="atLeast"/>
              <w:ind w:left="60" w:right="60"/>
              <w:jc w:val="right"/>
              <w:rPr>
                <w:rFonts w:ascii="Arial" w:hAnsi="Arial" w:cs="Arial"/>
                <w:color w:val="000000"/>
                <w:sz w:val="18"/>
                <w:szCs w:val="18"/>
              </w:rPr>
            </w:pPr>
          </w:p>
        </w:tc>
        <w:tc>
          <w:tcPr>
            <w:tcW w:w="1469" w:type="dxa"/>
            <w:tcBorders>
              <w:top w:val="nil"/>
              <w:bottom w:val="single" w:sz="16" w:space="0" w:color="000000"/>
              <w:right w:val="single" w:sz="16" w:space="0" w:color="000000"/>
            </w:tcBorders>
            <w:shd w:val="clear" w:color="auto" w:fill="FFFFFF"/>
            <w:vAlign w:val="center"/>
          </w:tcPr>
          <w:p w:rsidR="001A17B5" w:rsidRPr="00166261" w:rsidRDefault="001A17B5" w:rsidP="00EF05F3">
            <w:pPr>
              <w:autoSpaceDE w:val="0"/>
              <w:autoSpaceDN w:val="0"/>
              <w:adjustRightInd w:val="0"/>
              <w:spacing w:line="320" w:lineRule="atLeast"/>
              <w:ind w:left="60" w:right="60"/>
              <w:jc w:val="right"/>
              <w:rPr>
                <w:rFonts w:ascii="Arial" w:hAnsi="Arial" w:cs="Arial"/>
                <w:color w:val="000000"/>
                <w:sz w:val="18"/>
                <w:szCs w:val="18"/>
              </w:rPr>
            </w:pPr>
          </w:p>
        </w:tc>
      </w:tr>
    </w:tbl>
    <w:p w:rsidR="001A17B5" w:rsidRDefault="001A17B5" w:rsidP="00471AD0">
      <w:pPr>
        <w:autoSpaceDE w:val="0"/>
        <w:autoSpaceDN w:val="0"/>
        <w:adjustRightInd w:val="0"/>
        <w:spacing w:line="400" w:lineRule="atLeast"/>
        <w:rPr>
          <w:rFonts w:cs="Times New Roman"/>
          <w:szCs w:val="24"/>
        </w:rPr>
      </w:pPr>
    </w:p>
    <w:p w:rsidR="00471AD0" w:rsidRPr="001A17B5" w:rsidRDefault="001A17B5" w:rsidP="001A17B5">
      <w:pPr>
        <w:autoSpaceDE w:val="0"/>
        <w:autoSpaceDN w:val="0"/>
        <w:adjustRightInd w:val="0"/>
        <w:spacing w:line="400" w:lineRule="atLeast"/>
        <w:rPr>
          <w:rFonts w:cs="Times New Roman"/>
          <w:szCs w:val="24"/>
        </w:rPr>
      </w:pPr>
      <w:r w:rsidRPr="00166261">
        <w:rPr>
          <w:b/>
          <w:bCs/>
          <w:noProof/>
        </w:rPr>
        <w:lastRenderedPageBreak/>
        <w:drawing>
          <wp:inline distT="0" distB="0" distL="0" distR="0" wp14:anchorId="3F8FF445" wp14:editId="109AC15A">
            <wp:extent cx="5448300" cy="2038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9259" cy="2117275"/>
                    </a:xfrm>
                    <a:prstGeom prst="rect">
                      <a:avLst/>
                    </a:prstGeom>
                    <a:noFill/>
                  </pic:spPr>
                </pic:pic>
              </a:graphicData>
            </a:graphic>
          </wp:inline>
        </w:drawing>
      </w:r>
    </w:p>
    <w:p w:rsidR="00B70B4A" w:rsidRDefault="00B70B4A" w:rsidP="001A17B5">
      <w:pPr>
        <w:ind w:firstLine="0"/>
        <w:jc w:val="center"/>
      </w:pPr>
      <w:r>
        <w:br w:type="page"/>
      </w:r>
      <w:r>
        <w:lastRenderedPageBreak/>
        <w:t>References</w:t>
      </w:r>
    </w:p>
    <w:p w:rsidR="00B70B4A" w:rsidRPr="00B70B4A" w:rsidRDefault="00B70B4A" w:rsidP="00B70B4A">
      <w:pPr>
        <w:ind w:left="720" w:hanging="720"/>
        <w:rPr>
          <w:rFonts w:cs="Arial"/>
          <w:szCs w:val="20"/>
          <w:shd w:val="clear" w:color="auto" w:fill="FFFFFF"/>
        </w:rPr>
      </w:pPr>
      <w:proofErr w:type="spellStart"/>
      <w:r w:rsidRPr="00B70B4A">
        <w:rPr>
          <w:rFonts w:cs="Arial"/>
          <w:szCs w:val="20"/>
          <w:shd w:val="clear" w:color="auto" w:fill="FFFFFF"/>
        </w:rPr>
        <w:t>Czinkota</w:t>
      </w:r>
      <w:proofErr w:type="spellEnd"/>
      <w:r w:rsidRPr="00B70B4A">
        <w:rPr>
          <w:rFonts w:cs="Arial"/>
          <w:szCs w:val="20"/>
          <w:shd w:val="clear" w:color="auto" w:fill="FFFFFF"/>
        </w:rPr>
        <w:t xml:space="preserve">, M. R., </w:t>
      </w:r>
      <w:proofErr w:type="spellStart"/>
      <w:r w:rsidRPr="00B70B4A">
        <w:rPr>
          <w:rFonts w:cs="Arial"/>
          <w:szCs w:val="20"/>
          <w:shd w:val="clear" w:color="auto" w:fill="FFFFFF"/>
        </w:rPr>
        <w:t>Ronkainen</w:t>
      </w:r>
      <w:proofErr w:type="spellEnd"/>
      <w:r w:rsidRPr="00B70B4A">
        <w:rPr>
          <w:rFonts w:cs="Arial"/>
          <w:szCs w:val="20"/>
          <w:shd w:val="clear" w:color="auto" w:fill="FFFFFF"/>
        </w:rPr>
        <w:t xml:space="preserve">, I. A., &amp; </w:t>
      </w:r>
      <w:proofErr w:type="spellStart"/>
      <w:r w:rsidRPr="00B70B4A">
        <w:rPr>
          <w:rFonts w:cs="Arial"/>
          <w:szCs w:val="20"/>
          <w:shd w:val="clear" w:color="auto" w:fill="FFFFFF"/>
        </w:rPr>
        <w:t>Zvobgo</w:t>
      </w:r>
      <w:proofErr w:type="spellEnd"/>
      <w:r w:rsidRPr="00B70B4A">
        <w:rPr>
          <w:rFonts w:cs="Arial"/>
          <w:szCs w:val="20"/>
          <w:shd w:val="clear" w:color="auto" w:fill="FFFFFF"/>
        </w:rPr>
        <w:t>, G. (2011). </w:t>
      </w:r>
      <w:r w:rsidRPr="00B70B4A">
        <w:rPr>
          <w:rFonts w:cs="Arial"/>
          <w:i/>
          <w:iCs/>
          <w:szCs w:val="20"/>
          <w:shd w:val="clear" w:color="auto" w:fill="FFFFFF"/>
        </w:rPr>
        <w:t>International marketing</w:t>
      </w:r>
      <w:r w:rsidRPr="00B70B4A">
        <w:rPr>
          <w:rFonts w:cs="Arial"/>
          <w:szCs w:val="20"/>
          <w:shd w:val="clear" w:color="auto" w:fill="FFFFFF"/>
        </w:rPr>
        <w:t xml:space="preserve">. South-Western </w:t>
      </w:r>
      <w:proofErr w:type="spellStart"/>
      <w:r w:rsidRPr="00B70B4A">
        <w:rPr>
          <w:rFonts w:cs="Arial"/>
          <w:szCs w:val="20"/>
          <w:shd w:val="clear" w:color="auto" w:fill="FFFFFF"/>
        </w:rPr>
        <w:t>Cengage</w:t>
      </w:r>
      <w:proofErr w:type="spellEnd"/>
      <w:r w:rsidRPr="00B70B4A">
        <w:rPr>
          <w:rFonts w:cs="Arial"/>
          <w:szCs w:val="20"/>
          <w:shd w:val="clear" w:color="auto" w:fill="FFFFFF"/>
        </w:rPr>
        <w:t xml:space="preserve"> Learning.</w:t>
      </w:r>
    </w:p>
    <w:p w:rsidR="00B70B4A" w:rsidRPr="00B70B4A" w:rsidRDefault="00B70B4A" w:rsidP="00B70B4A">
      <w:pPr>
        <w:ind w:left="720" w:hanging="720"/>
      </w:pPr>
      <w:r w:rsidRPr="00B70B4A">
        <w:rPr>
          <w:rFonts w:cs="Arial"/>
          <w:szCs w:val="20"/>
          <w:shd w:val="clear" w:color="auto" w:fill="FFFFFF"/>
        </w:rPr>
        <w:t xml:space="preserve">Davis, C. H., &amp; </w:t>
      </w:r>
      <w:proofErr w:type="spellStart"/>
      <w:r w:rsidRPr="00B70B4A">
        <w:rPr>
          <w:rFonts w:cs="Arial"/>
          <w:szCs w:val="20"/>
          <w:shd w:val="clear" w:color="auto" w:fill="FFFFFF"/>
        </w:rPr>
        <w:t>Zboralska</w:t>
      </w:r>
      <w:proofErr w:type="spellEnd"/>
      <w:r w:rsidRPr="00B70B4A">
        <w:rPr>
          <w:rFonts w:cs="Arial"/>
          <w:szCs w:val="20"/>
          <w:shd w:val="clear" w:color="auto" w:fill="FFFFFF"/>
        </w:rPr>
        <w:t>, E. (2019). Cultural policy in the time of digital disruption: The case of creative Canada. </w:t>
      </w:r>
      <w:r w:rsidRPr="00B70B4A">
        <w:rPr>
          <w:rFonts w:cs="Arial"/>
          <w:i/>
          <w:iCs/>
          <w:szCs w:val="20"/>
          <w:shd w:val="clear" w:color="auto" w:fill="FFFFFF"/>
        </w:rPr>
        <w:t>Audio-visual industries and diversity: Economics and policies in the digital era</w:t>
      </w:r>
      <w:r w:rsidRPr="00B70B4A">
        <w:rPr>
          <w:rFonts w:cs="Arial"/>
          <w:szCs w:val="20"/>
          <w:shd w:val="clear" w:color="auto" w:fill="FFFFFF"/>
        </w:rPr>
        <w:t>, 152-168.</w:t>
      </w:r>
    </w:p>
    <w:p w:rsidR="00B70B4A" w:rsidRPr="00B70B4A" w:rsidRDefault="00B70B4A" w:rsidP="00B70B4A">
      <w:pPr>
        <w:ind w:left="720" w:hanging="720"/>
        <w:rPr>
          <w:rFonts w:cs="Arial"/>
          <w:szCs w:val="20"/>
          <w:shd w:val="clear" w:color="auto" w:fill="FFFFFF"/>
        </w:rPr>
      </w:pPr>
      <w:proofErr w:type="spellStart"/>
      <w:r w:rsidRPr="00B70B4A">
        <w:rPr>
          <w:rFonts w:cs="Arial"/>
          <w:szCs w:val="20"/>
          <w:shd w:val="clear" w:color="auto" w:fill="FFFFFF"/>
        </w:rPr>
        <w:t>Lobato</w:t>
      </w:r>
      <w:proofErr w:type="spellEnd"/>
      <w:r w:rsidRPr="00B70B4A">
        <w:rPr>
          <w:rFonts w:cs="Arial"/>
          <w:szCs w:val="20"/>
          <w:shd w:val="clear" w:color="auto" w:fill="FFFFFF"/>
        </w:rPr>
        <w:t>, R. (2019). </w:t>
      </w:r>
      <w:r w:rsidRPr="00B70B4A">
        <w:rPr>
          <w:rFonts w:cs="Arial"/>
          <w:i/>
          <w:iCs/>
          <w:szCs w:val="20"/>
          <w:shd w:val="clear" w:color="auto" w:fill="FFFFFF"/>
        </w:rPr>
        <w:t>Netflix n</w:t>
      </w:r>
      <w:bookmarkStart w:id="0" w:name="_GoBack"/>
      <w:bookmarkEnd w:id="0"/>
      <w:r w:rsidRPr="00B70B4A">
        <w:rPr>
          <w:rFonts w:cs="Arial"/>
          <w:i/>
          <w:iCs/>
          <w:szCs w:val="20"/>
          <w:shd w:val="clear" w:color="auto" w:fill="FFFFFF"/>
        </w:rPr>
        <w:t>ations: The geography of digital distribution</w:t>
      </w:r>
      <w:r w:rsidRPr="00B70B4A">
        <w:rPr>
          <w:rFonts w:cs="Arial"/>
          <w:szCs w:val="20"/>
          <w:shd w:val="clear" w:color="auto" w:fill="FFFFFF"/>
        </w:rPr>
        <w:t>. NYU Press.</w:t>
      </w:r>
    </w:p>
    <w:sectPr w:rsidR="00B70B4A" w:rsidRPr="00B70B4A" w:rsidSect="00471AD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DCA" w:rsidRDefault="000A5DCA" w:rsidP="00B70B4A">
      <w:pPr>
        <w:spacing w:line="240" w:lineRule="auto"/>
      </w:pPr>
      <w:r>
        <w:separator/>
      </w:r>
    </w:p>
  </w:endnote>
  <w:endnote w:type="continuationSeparator" w:id="0">
    <w:p w:rsidR="000A5DCA" w:rsidRDefault="000A5DCA" w:rsidP="00B70B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DCA" w:rsidRDefault="000A5DCA" w:rsidP="00B70B4A">
      <w:pPr>
        <w:spacing w:line="240" w:lineRule="auto"/>
      </w:pPr>
      <w:r>
        <w:separator/>
      </w:r>
    </w:p>
  </w:footnote>
  <w:footnote w:type="continuationSeparator" w:id="0">
    <w:p w:rsidR="000A5DCA" w:rsidRDefault="000A5DCA" w:rsidP="00B70B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153616"/>
      <w:docPartObj>
        <w:docPartGallery w:val="Page Numbers (Top of Page)"/>
        <w:docPartUnique/>
      </w:docPartObj>
    </w:sdtPr>
    <w:sdtEndPr>
      <w:rPr>
        <w:noProof/>
      </w:rPr>
    </w:sdtEndPr>
    <w:sdtContent>
      <w:p w:rsidR="00B70B4A" w:rsidRDefault="00B70B4A" w:rsidP="00B70B4A">
        <w:pPr>
          <w:pStyle w:val="Header"/>
          <w:ind w:firstLine="0"/>
        </w:pPr>
        <w:r>
          <w:t>INTERNATIONAL EXPANSION</w:t>
        </w:r>
        <w:r>
          <w:tab/>
        </w:r>
        <w:r>
          <w:tab/>
        </w:r>
        <w:r>
          <w:fldChar w:fldCharType="begin"/>
        </w:r>
        <w:r>
          <w:instrText xml:space="preserve"> PAGE   \* MERGEFORMAT </w:instrText>
        </w:r>
        <w:r>
          <w:fldChar w:fldCharType="separate"/>
        </w:r>
        <w:r w:rsidR="00D236EE">
          <w:rPr>
            <w:noProof/>
          </w:rPr>
          <w:t>8</w:t>
        </w:r>
        <w:r>
          <w:rPr>
            <w:noProof/>
          </w:rPr>
          <w:fldChar w:fldCharType="end"/>
        </w:r>
      </w:p>
    </w:sdtContent>
  </w:sdt>
  <w:p w:rsidR="00B70B4A" w:rsidRDefault="00B70B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273272"/>
      <w:docPartObj>
        <w:docPartGallery w:val="Page Numbers (Top of Page)"/>
        <w:docPartUnique/>
      </w:docPartObj>
    </w:sdtPr>
    <w:sdtEndPr>
      <w:rPr>
        <w:noProof/>
      </w:rPr>
    </w:sdtEndPr>
    <w:sdtContent>
      <w:p w:rsidR="00B70B4A" w:rsidRDefault="00B70B4A" w:rsidP="00B70B4A">
        <w:pPr>
          <w:pStyle w:val="Header"/>
          <w:ind w:firstLine="0"/>
        </w:pPr>
        <w:r>
          <w:t>Running head: INTERNATIONAL EXPANSION</w:t>
        </w:r>
        <w:r>
          <w:tab/>
        </w:r>
        <w:r>
          <w:fldChar w:fldCharType="begin"/>
        </w:r>
        <w:r>
          <w:instrText xml:space="preserve"> PAGE   \* MERGEFORMAT </w:instrText>
        </w:r>
        <w:r>
          <w:fldChar w:fldCharType="separate"/>
        </w:r>
        <w:r w:rsidR="00911014">
          <w:rPr>
            <w:noProof/>
          </w:rPr>
          <w:t>1</w:t>
        </w:r>
        <w:r>
          <w:rPr>
            <w:noProof/>
          </w:rPr>
          <w:fldChar w:fldCharType="end"/>
        </w:r>
      </w:p>
    </w:sdtContent>
  </w:sdt>
  <w:p w:rsidR="00B70B4A" w:rsidRDefault="00B70B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F4A"/>
    <w:rsid w:val="000A5DCA"/>
    <w:rsid w:val="00125278"/>
    <w:rsid w:val="001A0EF7"/>
    <w:rsid w:val="001A17B5"/>
    <w:rsid w:val="001C44F7"/>
    <w:rsid w:val="00277EF0"/>
    <w:rsid w:val="00471AD0"/>
    <w:rsid w:val="004B691D"/>
    <w:rsid w:val="00522ADA"/>
    <w:rsid w:val="00671F4A"/>
    <w:rsid w:val="00772475"/>
    <w:rsid w:val="00911014"/>
    <w:rsid w:val="00B505DE"/>
    <w:rsid w:val="00B70B4A"/>
    <w:rsid w:val="00D23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EF90AA-A00F-4775-A5F2-955EB9007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B4A"/>
    <w:pPr>
      <w:tabs>
        <w:tab w:val="center" w:pos="4680"/>
        <w:tab w:val="right" w:pos="9360"/>
      </w:tabs>
      <w:spacing w:line="240" w:lineRule="auto"/>
    </w:pPr>
  </w:style>
  <w:style w:type="character" w:customStyle="1" w:styleId="HeaderChar">
    <w:name w:val="Header Char"/>
    <w:basedOn w:val="DefaultParagraphFont"/>
    <w:link w:val="Header"/>
    <w:uiPriority w:val="99"/>
    <w:rsid w:val="00B70B4A"/>
  </w:style>
  <w:style w:type="paragraph" w:styleId="Footer">
    <w:name w:val="footer"/>
    <w:basedOn w:val="Normal"/>
    <w:link w:val="FooterChar"/>
    <w:uiPriority w:val="99"/>
    <w:unhideWhenUsed/>
    <w:rsid w:val="00B70B4A"/>
    <w:pPr>
      <w:tabs>
        <w:tab w:val="center" w:pos="4680"/>
        <w:tab w:val="right" w:pos="9360"/>
      </w:tabs>
      <w:spacing w:line="240" w:lineRule="auto"/>
    </w:pPr>
  </w:style>
  <w:style w:type="character" w:customStyle="1" w:styleId="FooterChar">
    <w:name w:val="Footer Char"/>
    <w:basedOn w:val="DefaultParagraphFont"/>
    <w:link w:val="Footer"/>
    <w:uiPriority w:val="99"/>
    <w:rsid w:val="00B70B4A"/>
  </w:style>
  <w:style w:type="paragraph" w:styleId="NoSpacing">
    <w:name w:val="No Spacing"/>
    <w:uiPriority w:val="1"/>
    <w:qFormat/>
    <w:rsid w:val="00471AD0"/>
    <w:pPr>
      <w:spacing w:line="240" w:lineRule="auto"/>
      <w:ind w:firstLine="0"/>
    </w:pPr>
    <w:rPr>
      <w:rFonts w:eastAsia="Times New Roman" w:cs="Times New Roman"/>
      <w:szCs w:val="20"/>
    </w:rPr>
  </w:style>
  <w:style w:type="paragraph" w:styleId="BalloonText">
    <w:name w:val="Balloon Text"/>
    <w:basedOn w:val="Normal"/>
    <w:link w:val="BalloonTextChar"/>
    <w:uiPriority w:val="99"/>
    <w:semiHidden/>
    <w:unhideWhenUsed/>
    <w:rsid w:val="00471AD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AD0"/>
    <w:rPr>
      <w:rFonts w:ascii="Tahoma" w:hAnsi="Tahoma" w:cs="Tahoma"/>
      <w:sz w:val="16"/>
      <w:szCs w:val="16"/>
    </w:rPr>
  </w:style>
  <w:style w:type="paragraph" w:styleId="NormalWeb">
    <w:name w:val="Normal (Web)"/>
    <w:basedOn w:val="Normal"/>
    <w:uiPriority w:val="99"/>
    <w:semiHidden/>
    <w:unhideWhenUsed/>
    <w:rsid w:val="001A17B5"/>
    <w:pPr>
      <w:spacing w:before="100" w:beforeAutospacing="1" w:after="100" w:afterAutospacing="1" w:line="240" w:lineRule="auto"/>
      <w:ind w:firstLine="0"/>
    </w:pPr>
    <w:rPr>
      <w:rFonts w:eastAsia="Times New Roman" w:cs="Times New Roman"/>
      <w:szCs w:val="24"/>
    </w:rPr>
  </w:style>
  <w:style w:type="character" w:styleId="Strong">
    <w:name w:val="Strong"/>
    <w:basedOn w:val="DefaultParagraphFont"/>
    <w:uiPriority w:val="22"/>
    <w:qFormat/>
    <w:rsid w:val="001A17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2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Jurgen</cp:lastModifiedBy>
  <cp:revision>4</cp:revision>
  <dcterms:created xsi:type="dcterms:W3CDTF">2020-11-06T02:29:00Z</dcterms:created>
  <dcterms:modified xsi:type="dcterms:W3CDTF">2020-11-06T04:11:00Z</dcterms:modified>
</cp:coreProperties>
</file>